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6971" w:rsidRDefault="0097240F" w:rsidP="00116971">
      <w:pPr>
        <w:spacing w:line="276" w:lineRule="auto"/>
        <w:ind w:left="-1134"/>
        <w:jc w:val="center"/>
        <w:rPr>
          <w:b/>
          <w:sz w:val="36"/>
          <w:szCs w:val="36"/>
        </w:rPr>
      </w:pPr>
      <w:bookmarkStart w:id="0" w:name="_GoBack"/>
      <w:bookmarkEnd w:id="0"/>
      <w:r>
        <w:rPr>
          <w:b/>
          <w:noProof/>
          <w:sz w:val="36"/>
          <w:szCs w:val="36"/>
        </w:rPr>
        <w:drawing>
          <wp:anchor distT="0" distB="0" distL="114300" distR="114300" simplePos="0" relativeHeight="251658240" behindDoc="0" locked="0" layoutInCell="1" allowOverlap="1">
            <wp:simplePos x="0" y="0"/>
            <wp:positionH relativeFrom="column">
              <wp:posOffset>-533735</wp:posOffset>
            </wp:positionH>
            <wp:positionV relativeFrom="paragraph">
              <wp:posOffset>-606149</wp:posOffset>
            </wp:positionV>
            <wp:extent cx="869315" cy="869315"/>
            <wp:effectExtent l="19050" t="19050" r="6985" b="6985"/>
            <wp:wrapNone/>
            <wp:docPr id="1" name="Picture 1" descr="http://www.miller-h.schools.nsw.edu.au/MillerLogo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iller-h.schools.nsw.edu.au/MillerLogo4.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869315" cy="869315"/>
                    </a:xfrm>
                    <a:prstGeom prst="rect">
                      <a:avLst/>
                    </a:prstGeom>
                    <a:noFill/>
                    <a:ln w="190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116971">
        <w:rPr>
          <w:b/>
          <w:sz w:val="36"/>
          <w:szCs w:val="36"/>
        </w:rPr>
        <w:t>Enrolment Procedures</w:t>
      </w:r>
    </w:p>
    <w:p w:rsidR="00F66034" w:rsidRDefault="00116971" w:rsidP="00116971">
      <w:pPr>
        <w:spacing w:line="276" w:lineRule="auto"/>
        <w:ind w:left="-1134"/>
        <w:jc w:val="center"/>
        <w:rPr>
          <w:b/>
          <w:sz w:val="36"/>
          <w:szCs w:val="36"/>
        </w:rPr>
      </w:pPr>
      <w:r>
        <w:rPr>
          <w:b/>
          <w:sz w:val="36"/>
          <w:szCs w:val="36"/>
        </w:rPr>
        <w:t xml:space="preserve">Miller </w:t>
      </w:r>
      <w:r w:rsidR="00E156AC" w:rsidRPr="00906412">
        <w:rPr>
          <w:b/>
          <w:sz w:val="36"/>
          <w:szCs w:val="36"/>
        </w:rPr>
        <w:t xml:space="preserve">Technology </w:t>
      </w:r>
      <w:r>
        <w:rPr>
          <w:b/>
          <w:sz w:val="36"/>
          <w:szCs w:val="36"/>
        </w:rPr>
        <w:t>High School</w:t>
      </w:r>
    </w:p>
    <w:p w:rsidR="00F66034" w:rsidRPr="00F66034" w:rsidRDefault="00F66034" w:rsidP="003E7C68">
      <w:pPr>
        <w:spacing w:line="276" w:lineRule="auto"/>
        <w:ind w:left="-1134"/>
        <w:jc w:val="both"/>
      </w:pPr>
    </w:p>
    <w:p w:rsidR="00906412" w:rsidRDefault="00A54D28" w:rsidP="003E7C68">
      <w:pPr>
        <w:spacing w:line="276" w:lineRule="auto"/>
        <w:ind w:left="-1134" w:right="-1198"/>
        <w:jc w:val="both"/>
        <w:rPr>
          <w:rFonts w:cs="Arial"/>
          <w:b/>
          <w:sz w:val="28"/>
          <w:szCs w:val="28"/>
        </w:rPr>
      </w:pPr>
      <w:r>
        <w:rPr>
          <w:rFonts w:cs="Arial"/>
          <w:b/>
          <w:sz w:val="28"/>
          <w:szCs w:val="28"/>
        </w:rPr>
        <w:t>Purpose:</w:t>
      </w:r>
    </w:p>
    <w:p w:rsidR="0026214E" w:rsidRPr="009A1127" w:rsidRDefault="0026214E" w:rsidP="003E7C68">
      <w:pPr>
        <w:spacing w:line="276" w:lineRule="auto"/>
        <w:ind w:left="-1418" w:right="-1198"/>
        <w:jc w:val="both"/>
        <w:rPr>
          <w:rFonts w:cs="Arial"/>
        </w:rPr>
      </w:pPr>
    </w:p>
    <w:p w:rsidR="00906412" w:rsidRPr="0097240F" w:rsidRDefault="00906412" w:rsidP="003E7C68">
      <w:pPr>
        <w:spacing w:line="276" w:lineRule="auto"/>
        <w:ind w:left="-1134"/>
        <w:jc w:val="both"/>
        <w:rPr>
          <w:rFonts w:cs="Arial"/>
        </w:rPr>
      </w:pPr>
      <w:r w:rsidRPr="00906412">
        <w:rPr>
          <w:rFonts w:cs="Arial"/>
        </w:rPr>
        <w:t xml:space="preserve">To create a process that ensures consistent and transparent procedures for the enrolment of students </w:t>
      </w:r>
      <w:r>
        <w:rPr>
          <w:rFonts w:cs="Arial"/>
        </w:rPr>
        <w:t xml:space="preserve">into </w:t>
      </w:r>
      <w:r w:rsidRPr="0026214E">
        <w:rPr>
          <w:rFonts w:cs="Arial"/>
        </w:rPr>
        <w:t>Miller Technology High School</w:t>
      </w:r>
      <w:r w:rsidR="0026214E" w:rsidRPr="0026214E">
        <w:rPr>
          <w:rFonts w:cs="Arial"/>
        </w:rPr>
        <w:t xml:space="preserve"> </w:t>
      </w:r>
      <w:r w:rsidR="0026214E" w:rsidRPr="0097240F">
        <w:rPr>
          <w:rFonts w:cs="Arial"/>
        </w:rPr>
        <w:t>and Intensive English Centre</w:t>
      </w:r>
      <w:r w:rsidR="006354BC" w:rsidRPr="0097240F">
        <w:rPr>
          <w:rFonts w:cs="Arial"/>
        </w:rPr>
        <w:t xml:space="preserve"> (IEC)</w:t>
      </w:r>
      <w:r w:rsidRPr="0097240F">
        <w:rPr>
          <w:rFonts w:cs="Arial"/>
        </w:rPr>
        <w:t>.</w:t>
      </w:r>
    </w:p>
    <w:p w:rsidR="00906412" w:rsidRPr="009A1127" w:rsidRDefault="00906412" w:rsidP="003E7C68">
      <w:pPr>
        <w:spacing w:line="276" w:lineRule="auto"/>
        <w:ind w:left="-1134" w:right="-1198" w:hanging="283"/>
        <w:jc w:val="both"/>
        <w:rPr>
          <w:rFonts w:cs="Arial"/>
        </w:rPr>
      </w:pPr>
    </w:p>
    <w:p w:rsidR="00906412" w:rsidRPr="00906412" w:rsidRDefault="00A54D28" w:rsidP="003E7C68">
      <w:pPr>
        <w:pStyle w:val="NormalWeb"/>
        <w:shd w:val="clear" w:color="auto" w:fill="FFFFFF"/>
        <w:spacing w:before="105" w:beforeAutospacing="0" w:after="105" w:afterAutospacing="0" w:line="276" w:lineRule="auto"/>
        <w:ind w:left="-851" w:hanging="283"/>
        <w:jc w:val="both"/>
        <w:rPr>
          <w:rStyle w:val="Strong"/>
          <w:rFonts w:ascii="Arial" w:hAnsi="Arial" w:cs="Arial"/>
          <w:sz w:val="28"/>
          <w:szCs w:val="28"/>
        </w:rPr>
      </w:pPr>
      <w:r>
        <w:rPr>
          <w:rStyle w:val="Strong"/>
          <w:rFonts w:ascii="Arial" w:hAnsi="Arial" w:cs="Arial"/>
          <w:sz w:val="28"/>
          <w:szCs w:val="28"/>
        </w:rPr>
        <w:t>Guiding P</w:t>
      </w:r>
      <w:r w:rsidRPr="00906412">
        <w:rPr>
          <w:rStyle w:val="Strong"/>
          <w:rFonts w:ascii="Arial" w:hAnsi="Arial" w:cs="Arial"/>
          <w:sz w:val="28"/>
          <w:szCs w:val="28"/>
        </w:rPr>
        <w:t>rinciples</w:t>
      </w:r>
      <w:r>
        <w:rPr>
          <w:rStyle w:val="Strong"/>
          <w:rFonts w:ascii="Arial" w:hAnsi="Arial" w:cs="Arial"/>
          <w:sz w:val="28"/>
          <w:szCs w:val="28"/>
        </w:rPr>
        <w:t>:</w:t>
      </w:r>
    </w:p>
    <w:p w:rsidR="00906412" w:rsidRPr="00906412" w:rsidRDefault="00906412" w:rsidP="003E7C68">
      <w:pPr>
        <w:pStyle w:val="ListParagraph"/>
        <w:numPr>
          <w:ilvl w:val="0"/>
          <w:numId w:val="4"/>
        </w:numPr>
        <w:spacing w:after="0"/>
        <w:jc w:val="both"/>
        <w:rPr>
          <w:rFonts w:ascii="Arial" w:hAnsi="Arial" w:cs="Arial"/>
          <w:sz w:val="24"/>
          <w:szCs w:val="24"/>
        </w:rPr>
      </w:pPr>
      <w:r w:rsidRPr="00906412">
        <w:rPr>
          <w:rFonts w:ascii="Arial" w:hAnsi="Arial" w:cs="Arial"/>
          <w:sz w:val="24"/>
          <w:szCs w:val="24"/>
        </w:rPr>
        <w:t xml:space="preserve">Children are entitled to be enrolled at the government school that is designated for the intake area within which the child’s home is situated and that the child is eligible to attend. </w:t>
      </w:r>
    </w:p>
    <w:p w:rsidR="00906412" w:rsidRPr="00906412" w:rsidRDefault="00906412" w:rsidP="003E7C68">
      <w:pPr>
        <w:pStyle w:val="ListParagraph"/>
        <w:numPr>
          <w:ilvl w:val="0"/>
          <w:numId w:val="4"/>
        </w:numPr>
        <w:spacing w:after="0"/>
        <w:jc w:val="both"/>
        <w:rPr>
          <w:rFonts w:ascii="Arial" w:hAnsi="Arial" w:cs="Arial"/>
          <w:sz w:val="24"/>
          <w:szCs w:val="24"/>
        </w:rPr>
      </w:pPr>
      <w:r w:rsidRPr="00906412">
        <w:rPr>
          <w:rFonts w:ascii="Arial" w:hAnsi="Arial" w:cs="Arial"/>
          <w:sz w:val="24"/>
          <w:szCs w:val="24"/>
        </w:rPr>
        <w:t xml:space="preserve">Parents </w:t>
      </w:r>
      <w:r w:rsidRPr="00906412">
        <w:rPr>
          <w:rFonts w:ascii="Arial" w:hAnsi="Arial" w:cs="Arial"/>
          <w:i/>
          <w:sz w:val="24"/>
          <w:szCs w:val="24"/>
        </w:rPr>
        <w:t>may seek</w:t>
      </w:r>
      <w:r w:rsidRPr="00906412">
        <w:rPr>
          <w:rFonts w:ascii="Arial" w:hAnsi="Arial" w:cs="Arial"/>
          <w:sz w:val="24"/>
          <w:szCs w:val="24"/>
        </w:rPr>
        <w:t xml:space="preserve"> to enrol their child in the school of their choice.</w:t>
      </w:r>
    </w:p>
    <w:p w:rsidR="00906412" w:rsidRPr="00906412" w:rsidRDefault="00906412" w:rsidP="003E7C68">
      <w:pPr>
        <w:pStyle w:val="ListParagraph"/>
        <w:numPr>
          <w:ilvl w:val="0"/>
          <w:numId w:val="4"/>
        </w:numPr>
        <w:spacing w:after="0"/>
        <w:jc w:val="both"/>
        <w:rPr>
          <w:rFonts w:ascii="Arial" w:hAnsi="Arial" w:cs="Arial"/>
          <w:sz w:val="24"/>
          <w:szCs w:val="24"/>
        </w:rPr>
      </w:pPr>
      <w:r w:rsidRPr="00906412">
        <w:rPr>
          <w:rFonts w:ascii="Arial" w:hAnsi="Arial" w:cs="Arial"/>
          <w:sz w:val="24"/>
          <w:szCs w:val="24"/>
        </w:rPr>
        <w:t>School local areas are determined by the Department of Education and through a process involving consultation between senior D</w:t>
      </w:r>
      <w:r w:rsidR="009A6535">
        <w:rPr>
          <w:rFonts w:ascii="Arial" w:hAnsi="Arial" w:cs="Arial"/>
          <w:sz w:val="24"/>
          <w:szCs w:val="24"/>
        </w:rPr>
        <w:t>oE</w:t>
      </w:r>
      <w:r w:rsidRPr="00906412">
        <w:rPr>
          <w:rFonts w:ascii="Arial" w:hAnsi="Arial" w:cs="Arial"/>
          <w:sz w:val="24"/>
          <w:szCs w:val="24"/>
        </w:rPr>
        <w:t xml:space="preserve"> Properties personnel and the Director.</w:t>
      </w:r>
    </w:p>
    <w:p w:rsidR="00906412" w:rsidRPr="00906412" w:rsidRDefault="00906412" w:rsidP="003E7C68">
      <w:pPr>
        <w:pStyle w:val="ListParagraph"/>
        <w:numPr>
          <w:ilvl w:val="0"/>
          <w:numId w:val="4"/>
        </w:numPr>
        <w:spacing w:after="0"/>
        <w:jc w:val="both"/>
        <w:rPr>
          <w:rFonts w:ascii="Arial" w:hAnsi="Arial" w:cs="Arial"/>
          <w:sz w:val="24"/>
          <w:szCs w:val="24"/>
        </w:rPr>
      </w:pPr>
      <w:r w:rsidRPr="00906412">
        <w:rPr>
          <w:rFonts w:ascii="Arial" w:hAnsi="Arial" w:cs="Arial"/>
          <w:sz w:val="24"/>
          <w:szCs w:val="24"/>
        </w:rPr>
        <w:t>The primary criteria for acceptance of non-local enrolment will include the availability of appropriate staff and permanent classroom accommodation.  Additional staff and accommodation should not be determined by non-local enrolments.</w:t>
      </w:r>
    </w:p>
    <w:p w:rsidR="0026214E" w:rsidRDefault="00B22C27" w:rsidP="003E7C68">
      <w:pPr>
        <w:pStyle w:val="NormalWeb"/>
        <w:shd w:val="clear" w:color="auto" w:fill="FFFFFF"/>
        <w:spacing w:before="105" w:beforeAutospacing="0" w:after="105" w:afterAutospacing="0" w:line="276" w:lineRule="auto"/>
        <w:ind w:left="-426" w:hanging="708"/>
        <w:jc w:val="both"/>
      </w:pPr>
      <w:hyperlink r:id="rId10" w:history="1">
        <w:r w:rsidR="00906412" w:rsidRPr="00ED0808">
          <w:rPr>
            <w:rStyle w:val="Hyperlink"/>
            <w:rFonts w:ascii="Arial" w:hAnsi="Arial" w:cs="Arial"/>
          </w:rPr>
          <w:t>https://education.nsw.gov.au/going-to-a-public-school/enrolment/high-school-enrolment</w:t>
        </w:r>
      </w:hyperlink>
    </w:p>
    <w:p w:rsidR="0026214E" w:rsidRPr="009A1127" w:rsidRDefault="0026214E" w:rsidP="003E7C68">
      <w:pPr>
        <w:pStyle w:val="NormalWeb"/>
        <w:shd w:val="clear" w:color="auto" w:fill="FFFFFF"/>
        <w:spacing w:before="105" w:beforeAutospacing="0" w:after="105" w:afterAutospacing="0" w:line="276" w:lineRule="auto"/>
        <w:ind w:left="-426" w:hanging="708"/>
        <w:jc w:val="both"/>
        <w:rPr>
          <w:rFonts w:ascii="Arial" w:hAnsi="Arial" w:cs="Arial"/>
          <w:bCs/>
        </w:rPr>
      </w:pPr>
    </w:p>
    <w:p w:rsidR="0026214E" w:rsidRPr="003E7C68" w:rsidRDefault="0026214E" w:rsidP="003E7C68">
      <w:pPr>
        <w:pStyle w:val="NormalWeb"/>
        <w:shd w:val="clear" w:color="auto" w:fill="FFFFFF"/>
        <w:spacing w:before="105" w:beforeAutospacing="0" w:after="105" w:afterAutospacing="0" w:line="276" w:lineRule="auto"/>
        <w:ind w:left="-426" w:hanging="708"/>
        <w:jc w:val="both"/>
        <w:rPr>
          <w:rFonts w:ascii="Arial" w:hAnsi="Arial" w:cs="Arial"/>
          <w:b/>
          <w:bCs/>
          <w:sz w:val="28"/>
          <w:szCs w:val="28"/>
        </w:rPr>
      </w:pPr>
      <w:r w:rsidRPr="0026214E">
        <w:rPr>
          <w:rFonts w:ascii="Arial" w:hAnsi="Arial" w:cs="Arial"/>
          <w:b/>
          <w:bCs/>
          <w:sz w:val="28"/>
          <w:szCs w:val="28"/>
        </w:rPr>
        <w:t>Enrolment Ceiling and Enrolment Buffer</w:t>
      </w:r>
      <w:r w:rsidR="00A54D28">
        <w:rPr>
          <w:rFonts w:ascii="Arial" w:hAnsi="Arial" w:cs="Arial"/>
          <w:b/>
          <w:bCs/>
          <w:sz w:val="28"/>
          <w:szCs w:val="28"/>
        </w:rPr>
        <w:t>:</w:t>
      </w:r>
    </w:p>
    <w:p w:rsidR="0026214E" w:rsidRDefault="0026214E" w:rsidP="003E7C68">
      <w:pPr>
        <w:pStyle w:val="Default"/>
        <w:spacing w:line="276" w:lineRule="auto"/>
        <w:jc w:val="both"/>
      </w:pPr>
      <w:r w:rsidRPr="0026214E">
        <w:t xml:space="preserve">Miller Technology High School has an enrolment ceiling based on available permanent classroom accommodation. </w:t>
      </w:r>
      <w:r>
        <w:t xml:space="preserve"> </w:t>
      </w:r>
      <w:r w:rsidRPr="0026214E">
        <w:t>All non-local a</w:t>
      </w:r>
      <w:r w:rsidR="009A6535">
        <w:t>pplications will be considered.</w:t>
      </w:r>
    </w:p>
    <w:p w:rsidR="0026214E" w:rsidRDefault="0026214E" w:rsidP="003E7C68">
      <w:pPr>
        <w:pStyle w:val="Default"/>
        <w:spacing w:line="276" w:lineRule="auto"/>
        <w:jc w:val="both"/>
      </w:pPr>
    </w:p>
    <w:p w:rsidR="0026214E" w:rsidRDefault="0026214E" w:rsidP="003E7C68">
      <w:pPr>
        <w:pStyle w:val="Default"/>
        <w:spacing w:line="276" w:lineRule="auto"/>
        <w:jc w:val="both"/>
      </w:pPr>
      <w:r w:rsidRPr="0097240F">
        <w:rPr>
          <w:color w:val="auto"/>
        </w:rPr>
        <w:t>Each year, the school maintains an enrolment buffer to cater for anticipated local demand, including students moving from the IEC into the high school and</w:t>
      </w:r>
      <w:r>
        <w:t xml:space="preserve"> </w:t>
      </w:r>
      <w:r w:rsidRPr="0026214E">
        <w:t>new families who move</w:t>
      </w:r>
      <w:r>
        <w:t xml:space="preserve"> into the local enrolment area.</w:t>
      </w:r>
    </w:p>
    <w:p w:rsidR="00F91706" w:rsidRPr="00F91706" w:rsidRDefault="00F91706" w:rsidP="003E7C68">
      <w:pPr>
        <w:pStyle w:val="Default"/>
        <w:spacing w:line="276" w:lineRule="auto"/>
        <w:jc w:val="both"/>
      </w:pPr>
    </w:p>
    <w:p w:rsidR="00F91706" w:rsidRDefault="0097240F" w:rsidP="003E7C68">
      <w:pPr>
        <w:widowControl w:val="0"/>
        <w:autoSpaceDE w:val="0"/>
        <w:autoSpaceDN w:val="0"/>
        <w:adjustRightInd w:val="0"/>
        <w:spacing w:line="276" w:lineRule="auto"/>
        <w:rPr>
          <w:rFonts w:eastAsiaTheme="minorHAnsi" w:cs="Arial"/>
          <w:lang w:val="en-US" w:eastAsia="en-US"/>
        </w:rPr>
      </w:pPr>
      <w:r>
        <w:rPr>
          <w:rFonts w:eastAsiaTheme="minorHAnsi" w:cs="Arial"/>
          <w:lang w:val="en-US" w:eastAsia="en-US"/>
        </w:rPr>
        <w:t>In 2018</w:t>
      </w:r>
      <w:r w:rsidR="00F91706" w:rsidRPr="00F91706">
        <w:rPr>
          <w:rFonts w:eastAsiaTheme="minorHAnsi" w:cs="Arial"/>
          <w:lang w:val="en-US" w:eastAsia="en-US"/>
        </w:rPr>
        <w:t xml:space="preserve"> student numbers (including the buffer) will be set at:</w:t>
      </w:r>
    </w:p>
    <w:p w:rsidR="00F91706" w:rsidRPr="00F91706" w:rsidRDefault="00F91706" w:rsidP="003E7C68">
      <w:pPr>
        <w:widowControl w:val="0"/>
        <w:autoSpaceDE w:val="0"/>
        <w:autoSpaceDN w:val="0"/>
        <w:adjustRightInd w:val="0"/>
        <w:spacing w:line="276" w:lineRule="auto"/>
        <w:rPr>
          <w:rFonts w:eastAsiaTheme="minorHAnsi" w:cs="Arial"/>
          <w:lang w:val="en-US" w:eastAsia="en-US"/>
        </w:rPr>
      </w:pPr>
    </w:p>
    <w:p w:rsidR="00F91706" w:rsidRPr="00F91706" w:rsidRDefault="00F91706" w:rsidP="003E7C68">
      <w:pPr>
        <w:widowControl w:val="0"/>
        <w:autoSpaceDE w:val="0"/>
        <w:autoSpaceDN w:val="0"/>
        <w:adjustRightInd w:val="0"/>
        <w:spacing w:line="276" w:lineRule="auto"/>
        <w:rPr>
          <w:rFonts w:eastAsiaTheme="minorHAnsi" w:cs="Arial"/>
          <w:lang w:val="en-US" w:eastAsia="en-US"/>
        </w:rPr>
      </w:pPr>
      <w:r w:rsidRPr="00F91706">
        <w:rPr>
          <w:rFonts w:eastAsiaTheme="minorHAnsi" w:cs="Arial"/>
          <w:lang w:val="en-US" w:eastAsia="en-US"/>
        </w:rPr>
        <w:t xml:space="preserve">Year 7 </w:t>
      </w:r>
      <w:r w:rsidR="0097240F">
        <w:rPr>
          <w:rFonts w:eastAsiaTheme="minorHAnsi" w:cs="Arial"/>
          <w:lang w:val="en-US" w:eastAsia="en-US"/>
        </w:rPr>
        <w:t>–</w:t>
      </w:r>
      <w:r w:rsidR="002D6787">
        <w:rPr>
          <w:rFonts w:eastAsiaTheme="minorHAnsi" w:cs="Arial"/>
          <w:lang w:val="en-US" w:eastAsia="en-US"/>
        </w:rPr>
        <w:t xml:space="preserve"> </w:t>
      </w:r>
      <w:r w:rsidR="0097240F">
        <w:rPr>
          <w:rFonts w:eastAsiaTheme="minorHAnsi" w:cs="Arial"/>
          <w:lang w:val="en-US" w:eastAsia="en-US"/>
        </w:rPr>
        <w:t xml:space="preserve">120 </w:t>
      </w:r>
      <w:r w:rsidRPr="00F91706">
        <w:rPr>
          <w:rFonts w:eastAsiaTheme="minorHAnsi" w:cs="Arial"/>
          <w:lang w:val="en-US" w:eastAsia="en-US"/>
        </w:rPr>
        <w:t>students</w:t>
      </w:r>
    </w:p>
    <w:p w:rsidR="00F91706" w:rsidRPr="00F91706" w:rsidRDefault="00F91706" w:rsidP="003E7C68">
      <w:pPr>
        <w:widowControl w:val="0"/>
        <w:autoSpaceDE w:val="0"/>
        <w:autoSpaceDN w:val="0"/>
        <w:adjustRightInd w:val="0"/>
        <w:spacing w:line="276" w:lineRule="auto"/>
        <w:rPr>
          <w:rFonts w:eastAsiaTheme="minorHAnsi" w:cs="Arial"/>
          <w:lang w:val="en-US" w:eastAsia="en-US"/>
        </w:rPr>
      </w:pPr>
      <w:r>
        <w:rPr>
          <w:rFonts w:eastAsiaTheme="minorHAnsi" w:cs="Arial"/>
          <w:lang w:val="en-US" w:eastAsia="en-US"/>
        </w:rPr>
        <w:t xml:space="preserve">Year 8 </w:t>
      </w:r>
      <w:r w:rsidR="0097240F">
        <w:rPr>
          <w:rFonts w:eastAsiaTheme="minorHAnsi" w:cs="Arial"/>
          <w:lang w:val="en-US" w:eastAsia="en-US"/>
        </w:rPr>
        <w:t>–</w:t>
      </w:r>
      <w:r>
        <w:rPr>
          <w:rFonts w:eastAsiaTheme="minorHAnsi" w:cs="Arial"/>
          <w:lang w:val="en-US" w:eastAsia="en-US"/>
        </w:rPr>
        <w:t xml:space="preserve"> </w:t>
      </w:r>
      <w:r w:rsidR="0097240F">
        <w:rPr>
          <w:rFonts w:eastAsiaTheme="minorHAnsi" w:cs="Arial"/>
          <w:lang w:val="en-US" w:eastAsia="en-US"/>
        </w:rPr>
        <w:t xml:space="preserve">120 </w:t>
      </w:r>
      <w:r w:rsidRPr="00F91706">
        <w:rPr>
          <w:rFonts w:eastAsiaTheme="minorHAnsi" w:cs="Arial"/>
          <w:lang w:val="en-US" w:eastAsia="en-US"/>
        </w:rPr>
        <w:t>students</w:t>
      </w:r>
    </w:p>
    <w:p w:rsidR="00F91706" w:rsidRPr="00F91706" w:rsidRDefault="00F91706" w:rsidP="003E7C68">
      <w:pPr>
        <w:widowControl w:val="0"/>
        <w:autoSpaceDE w:val="0"/>
        <w:autoSpaceDN w:val="0"/>
        <w:adjustRightInd w:val="0"/>
        <w:spacing w:line="276" w:lineRule="auto"/>
        <w:rPr>
          <w:rFonts w:eastAsiaTheme="minorHAnsi" w:cs="Arial"/>
          <w:lang w:val="en-US" w:eastAsia="en-US"/>
        </w:rPr>
      </w:pPr>
      <w:r>
        <w:rPr>
          <w:rFonts w:eastAsiaTheme="minorHAnsi" w:cs="Arial"/>
          <w:lang w:val="en-US" w:eastAsia="en-US"/>
        </w:rPr>
        <w:t xml:space="preserve">Year 9 </w:t>
      </w:r>
      <w:r w:rsidR="0097240F">
        <w:rPr>
          <w:rFonts w:eastAsiaTheme="minorHAnsi" w:cs="Arial"/>
          <w:lang w:val="en-US" w:eastAsia="en-US"/>
        </w:rPr>
        <w:t>–</w:t>
      </w:r>
      <w:r>
        <w:rPr>
          <w:rFonts w:eastAsiaTheme="minorHAnsi" w:cs="Arial"/>
          <w:lang w:val="en-US" w:eastAsia="en-US"/>
        </w:rPr>
        <w:t xml:space="preserve"> </w:t>
      </w:r>
      <w:r w:rsidR="0097240F">
        <w:rPr>
          <w:rFonts w:eastAsiaTheme="minorHAnsi" w:cs="Arial"/>
          <w:lang w:val="en-US" w:eastAsia="en-US"/>
        </w:rPr>
        <w:t xml:space="preserve">120 </w:t>
      </w:r>
      <w:r w:rsidRPr="00F91706">
        <w:rPr>
          <w:rFonts w:eastAsiaTheme="minorHAnsi" w:cs="Arial"/>
          <w:lang w:val="en-US" w:eastAsia="en-US"/>
        </w:rPr>
        <w:t>students</w:t>
      </w:r>
    </w:p>
    <w:p w:rsidR="00F91706" w:rsidRPr="00F91706" w:rsidRDefault="00F91706" w:rsidP="003E7C68">
      <w:pPr>
        <w:widowControl w:val="0"/>
        <w:autoSpaceDE w:val="0"/>
        <w:autoSpaceDN w:val="0"/>
        <w:adjustRightInd w:val="0"/>
        <w:spacing w:line="276" w:lineRule="auto"/>
        <w:rPr>
          <w:rFonts w:eastAsiaTheme="minorHAnsi" w:cs="Arial"/>
          <w:lang w:val="en-US" w:eastAsia="en-US"/>
        </w:rPr>
      </w:pPr>
      <w:r w:rsidRPr="00F91706">
        <w:rPr>
          <w:rFonts w:eastAsiaTheme="minorHAnsi" w:cs="Arial"/>
          <w:lang w:val="en-US" w:eastAsia="en-US"/>
        </w:rPr>
        <w:t xml:space="preserve">Year 10 </w:t>
      </w:r>
      <w:r w:rsidR="0097240F">
        <w:rPr>
          <w:rFonts w:eastAsiaTheme="minorHAnsi" w:cs="Arial"/>
          <w:lang w:val="en-US" w:eastAsia="en-US"/>
        </w:rPr>
        <w:t>–</w:t>
      </w:r>
      <w:r>
        <w:rPr>
          <w:rFonts w:eastAsiaTheme="minorHAnsi" w:cs="Arial"/>
          <w:lang w:val="en-US" w:eastAsia="en-US"/>
        </w:rPr>
        <w:t xml:space="preserve"> </w:t>
      </w:r>
      <w:r w:rsidR="0097240F">
        <w:rPr>
          <w:rFonts w:eastAsiaTheme="minorHAnsi" w:cs="Arial"/>
          <w:lang w:val="en-US" w:eastAsia="en-US"/>
        </w:rPr>
        <w:t xml:space="preserve">120 </w:t>
      </w:r>
      <w:r w:rsidRPr="00F91706">
        <w:rPr>
          <w:rFonts w:eastAsiaTheme="minorHAnsi" w:cs="Arial"/>
          <w:lang w:val="en-US" w:eastAsia="en-US"/>
        </w:rPr>
        <w:t>students</w:t>
      </w:r>
    </w:p>
    <w:p w:rsidR="00F91706" w:rsidRPr="00F91706" w:rsidRDefault="002D6787" w:rsidP="003E7C68">
      <w:pPr>
        <w:widowControl w:val="0"/>
        <w:autoSpaceDE w:val="0"/>
        <w:autoSpaceDN w:val="0"/>
        <w:adjustRightInd w:val="0"/>
        <w:spacing w:line="276" w:lineRule="auto"/>
        <w:rPr>
          <w:rFonts w:eastAsiaTheme="minorHAnsi" w:cs="Arial"/>
          <w:lang w:val="en-US" w:eastAsia="en-US"/>
        </w:rPr>
      </w:pPr>
      <w:r>
        <w:rPr>
          <w:rFonts w:eastAsiaTheme="minorHAnsi" w:cs="Arial"/>
          <w:lang w:val="en-US" w:eastAsia="en-US"/>
        </w:rPr>
        <w:t xml:space="preserve">Year 11 </w:t>
      </w:r>
      <w:r w:rsidR="0097240F">
        <w:rPr>
          <w:rFonts w:eastAsiaTheme="minorHAnsi" w:cs="Arial"/>
          <w:lang w:val="en-US" w:eastAsia="en-US"/>
        </w:rPr>
        <w:t>–</w:t>
      </w:r>
      <w:r>
        <w:rPr>
          <w:rFonts w:eastAsiaTheme="minorHAnsi" w:cs="Arial"/>
          <w:lang w:val="en-US" w:eastAsia="en-US"/>
        </w:rPr>
        <w:t xml:space="preserve"> </w:t>
      </w:r>
      <w:r w:rsidR="0097240F">
        <w:rPr>
          <w:rFonts w:eastAsiaTheme="minorHAnsi" w:cs="Arial"/>
          <w:lang w:val="en-US" w:eastAsia="en-US"/>
        </w:rPr>
        <w:t xml:space="preserve">120 </w:t>
      </w:r>
      <w:r w:rsidR="00F91706" w:rsidRPr="00F91706">
        <w:rPr>
          <w:rFonts w:eastAsiaTheme="minorHAnsi" w:cs="Arial"/>
          <w:lang w:val="en-US" w:eastAsia="en-US"/>
        </w:rPr>
        <w:t>students</w:t>
      </w:r>
    </w:p>
    <w:p w:rsidR="00F91706" w:rsidRPr="00F91706" w:rsidRDefault="002D6787" w:rsidP="003E7C68">
      <w:pPr>
        <w:widowControl w:val="0"/>
        <w:autoSpaceDE w:val="0"/>
        <w:autoSpaceDN w:val="0"/>
        <w:adjustRightInd w:val="0"/>
        <w:spacing w:line="276" w:lineRule="auto"/>
        <w:rPr>
          <w:rFonts w:eastAsiaTheme="minorHAnsi" w:cs="Arial"/>
          <w:lang w:val="en-US" w:eastAsia="en-US"/>
        </w:rPr>
      </w:pPr>
      <w:r>
        <w:rPr>
          <w:rFonts w:eastAsiaTheme="minorHAnsi" w:cs="Arial"/>
          <w:lang w:val="en-US" w:eastAsia="en-US"/>
        </w:rPr>
        <w:t xml:space="preserve">Year 12 </w:t>
      </w:r>
      <w:r w:rsidR="0097240F">
        <w:rPr>
          <w:rFonts w:eastAsiaTheme="minorHAnsi" w:cs="Arial"/>
          <w:lang w:val="en-US" w:eastAsia="en-US"/>
        </w:rPr>
        <w:t>–</w:t>
      </w:r>
      <w:r>
        <w:rPr>
          <w:rFonts w:eastAsiaTheme="minorHAnsi" w:cs="Arial"/>
          <w:lang w:val="en-US" w:eastAsia="en-US"/>
        </w:rPr>
        <w:t xml:space="preserve"> </w:t>
      </w:r>
      <w:r w:rsidR="0097240F">
        <w:rPr>
          <w:rFonts w:eastAsiaTheme="minorHAnsi" w:cs="Arial"/>
          <w:lang w:val="en-US" w:eastAsia="en-US"/>
        </w:rPr>
        <w:t xml:space="preserve">120 </w:t>
      </w:r>
      <w:r w:rsidR="00F91706" w:rsidRPr="00F91706">
        <w:rPr>
          <w:rFonts w:eastAsiaTheme="minorHAnsi" w:cs="Arial"/>
          <w:lang w:val="en-US" w:eastAsia="en-US"/>
        </w:rPr>
        <w:t>students</w:t>
      </w:r>
    </w:p>
    <w:p w:rsidR="002D6787" w:rsidRDefault="002D6787" w:rsidP="003E7C68">
      <w:pPr>
        <w:pStyle w:val="Default"/>
        <w:spacing w:line="276" w:lineRule="auto"/>
        <w:jc w:val="both"/>
      </w:pPr>
    </w:p>
    <w:p w:rsidR="00F91706" w:rsidRDefault="0097240F" w:rsidP="003E7C68">
      <w:pPr>
        <w:pStyle w:val="Default"/>
        <w:spacing w:line="276" w:lineRule="auto"/>
        <w:jc w:val="both"/>
      </w:pPr>
      <w:r>
        <w:t xml:space="preserve">Intensive English Centre - 175 </w:t>
      </w:r>
      <w:r w:rsidR="002D6787" w:rsidRPr="00F91706">
        <w:rPr>
          <w:rFonts w:eastAsiaTheme="minorHAnsi"/>
          <w:lang w:val="en-US"/>
        </w:rPr>
        <w:t>students</w:t>
      </w:r>
    </w:p>
    <w:p w:rsidR="002D6787" w:rsidRDefault="002D6787" w:rsidP="003E7C68">
      <w:pPr>
        <w:pStyle w:val="Default"/>
        <w:spacing w:line="276" w:lineRule="auto"/>
        <w:jc w:val="both"/>
      </w:pPr>
    </w:p>
    <w:p w:rsidR="0026214E" w:rsidRPr="003E7C68" w:rsidRDefault="0026214E" w:rsidP="003E7C68">
      <w:pPr>
        <w:pStyle w:val="Default"/>
        <w:spacing w:line="276" w:lineRule="auto"/>
        <w:ind w:left="-1134"/>
        <w:jc w:val="both"/>
        <w:rPr>
          <w:sz w:val="28"/>
          <w:szCs w:val="28"/>
        </w:rPr>
      </w:pPr>
      <w:r w:rsidRPr="003E7C68">
        <w:rPr>
          <w:b/>
          <w:bCs/>
          <w:sz w:val="28"/>
          <w:szCs w:val="28"/>
        </w:rPr>
        <w:lastRenderedPageBreak/>
        <w:t>Enrolment Process</w:t>
      </w:r>
      <w:r w:rsidR="00A54D28">
        <w:rPr>
          <w:b/>
          <w:bCs/>
          <w:sz w:val="28"/>
          <w:szCs w:val="28"/>
        </w:rPr>
        <w:t>:</w:t>
      </w:r>
    </w:p>
    <w:p w:rsidR="0026214E" w:rsidRPr="0026214E" w:rsidRDefault="0026214E" w:rsidP="003E7C68">
      <w:pPr>
        <w:pStyle w:val="Default"/>
        <w:spacing w:line="276" w:lineRule="auto"/>
        <w:jc w:val="both"/>
      </w:pPr>
    </w:p>
    <w:p w:rsidR="0026214E" w:rsidRPr="00D02756" w:rsidRDefault="0026214E" w:rsidP="003E7C68">
      <w:pPr>
        <w:pStyle w:val="Default"/>
        <w:spacing w:after="22" w:line="276" w:lineRule="auto"/>
        <w:jc w:val="both"/>
        <w:rPr>
          <w:b/>
          <w:bCs/>
        </w:rPr>
      </w:pPr>
      <w:r w:rsidRPr="0026214E">
        <w:rPr>
          <w:b/>
          <w:bCs/>
        </w:rPr>
        <w:t>Year 6 into Year 7</w:t>
      </w:r>
      <w:r w:rsidR="00D02756">
        <w:rPr>
          <w:b/>
          <w:bCs/>
        </w:rPr>
        <w:t>:</w:t>
      </w:r>
    </w:p>
    <w:p w:rsidR="0026214E" w:rsidRDefault="0026214E" w:rsidP="003E7C68">
      <w:pPr>
        <w:pStyle w:val="Default"/>
        <w:spacing w:after="22" w:line="276" w:lineRule="auto"/>
        <w:jc w:val="both"/>
      </w:pPr>
      <w:r w:rsidRPr="0026214E">
        <w:t xml:space="preserve">Parents of a Year 6 student currently attending a NSW government primary school who wish to apply for Year 7 in the following year will be provided with an enrolment form from their primary school which needs to be </w:t>
      </w:r>
      <w:r>
        <w:t xml:space="preserve">returned to the primary school.  </w:t>
      </w:r>
      <w:r w:rsidRPr="0026214E">
        <w:t>Parents of a Year 6 student in a non-government school must contact Miller Technology High School di</w:t>
      </w:r>
      <w:r>
        <w:t>rectly for further information.</w:t>
      </w:r>
    </w:p>
    <w:p w:rsidR="0026214E" w:rsidRDefault="0026214E" w:rsidP="003E7C68">
      <w:pPr>
        <w:pStyle w:val="Default"/>
        <w:spacing w:after="22" w:line="276" w:lineRule="auto"/>
        <w:jc w:val="both"/>
      </w:pPr>
    </w:p>
    <w:p w:rsidR="00D02756" w:rsidRPr="009B4324" w:rsidRDefault="0026214E" w:rsidP="003E7C68">
      <w:pPr>
        <w:pStyle w:val="Default"/>
        <w:spacing w:after="22" w:line="276" w:lineRule="auto"/>
        <w:jc w:val="both"/>
        <w:rPr>
          <w:b/>
        </w:rPr>
      </w:pPr>
      <w:r w:rsidRPr="009B4324">
        <w:rPr>
          <w:b/>
          <w:bCs/>
        </w:rPr>
        <w:t>Year 7 to Year 12</w:t>
      </w:r>
      <w:r w:rsidR="00D02756" w:rsidRPr="009B4324">
        <w:rPr>
          <w:b/>
        </w:rPr>
        <w:t>:</w:t>
      </w:r>
    </w:p>
    <w:p w:rsidR="0026214E" w:rsidRPr="0026214E" w:rsidRDefault="0026214E" w:rsidP="003E7C68">
      <w:pPr>
        <w:pStyle w:val="Default"/>
        <w:spacing w:after="22" w:line="276" w:lineRule="auto"/>
        <w:jc w:val="both"/>
      </w:pPr>
      <w:r w:rsidRPr="0026214E">
        <w:t>Parents of a student in Year 7 to Year 12 who wish to enrol m</w:t>
      </w:r>
      <w:r>
        <w:t>ust complete the attached form.</w:t>
      </w:r>
    </w:p>
    <w:p w:rsidR="0026214E" w:rsidRPr="0026214E" w:rsidRDefault="0026214E" w:rsidP="003E7C68">
      <w:pPr>
        <w:pStyle w:val="Default"/>
        <w:spacing w:line="276" w:lineRule="auto"/>
        <w:jc w:val="both"/>
      </w:pPr>
    </w:p>
    <w:p w:rsidR="0026214E" w:rsidRPr="0026214E" w:rsidRDefault="0026214E" w:rsidP="003E7C68">
      <w:pPr>
        <w:pStyle w:val="Default"/>
        <w:spacing w:line="276" w:lineRule="auto"/>
        <w:jc w:val="both"/>
      </w:pPr>
      <w:r w:rsidRPr="0026214E">
        <w:rPr>
          <w:b/>
          <w:bCs/>
        </w:rPr>
        <w:t>Local Enrolments</w:t>
      </w:r>
      <w:r w:rsidR="00D02756">
        <w:rPr>
          <w:b/>
          <w:bCs/>
        </w:rPr>
        <w:t>:</w:t>
      </w:r>
    </w:p>
    <w:p w:rsidR="0026214E" w:rsidRDefault="0026214E" w:rsidP="003E7C68">
      <w:pPr>
        <w:pStyle w:val="Default"/>
        <w:spacing w:line="276" w:lineRule="auto"/>
        <w:jc w:val="both"/>
      </w:pPr>
      <w:r w:rsidRPr="0026214E">
        <w:t xml:space="preserve">The local enrolment area is determined by the NSW Department of Education and may be amended from time to time. </w:t>
      </w:r>
      <w:r>
        <w:t xml:space="preserve"> </w:t>
      </w:r>
      <w:r w:rsidRPr="0026214E">
        <w:t xml:space="preserve">A map of the local enrolment area </w:t>
      </w:r>
      <w:r>
        <w:t>is included below.</w:t>
      </w:r>
    </w:p>
    <w:p w:rsidR="0026214E" w:rsidRPr="0026214E" w:rsidRDefault="0026214E" w:rsidP="003E7C68">
      <w:pPr>
        <w:pStyle w:val="Default"/>
        <w:spacing w:line="276" w:lineRule="auto"/>
        <w:jc w:val="both"/>
      </w:pPr>
    </w:p>
    <w:p w:rsidR="00906412" w:rsidRDefault="0026214E" w:rsidP="003E7C68">
      <w:pPr>
        <w:pStyle w:val="NormalWeb"/>
        <w:shd w:val="clear" w:color="auto" w:fill="FFFFFF"/>
        <w:spacing w:before="0" w:beforeAutospacing="0" w:after="0" w:afterAutospacing="0" w:line="276" w:lineRule="auto"/>
        <w:jc w:val="both"/>
        <w:rPr>
          <w:rFonts w:ascii="Arial" w:hAnsi="Arial" w:cs="Arial"/>
        </w:rPr>
      </w:pPr>
      <w:r w:rsidRPr="0026214E">
        <w:rPr>
          <w:rFonts w:ascii="Arial" w:hAnsi="Arial" w:cs="Arial"/>
        </w:rPr>
        <w:t xml:space="preserve">The exact boundaries and street names can be checked with the school. </w:t>
      </w:r>
      <w:r>
        <w:rPr>
          <w:rFonts w:ascii="Arial" w:hAnsi="Arial" w:cs="Arial"/>
        </w:rPr>
        <w:t xml:space="preserve"> </w:t>
      </w:r>
      <w:r w:rsidRPr="0026214E">
        <w:rPr>
          <w:rFonts w:ascii="Arial" w:hAnsi="Arial" w:cs="Arial"/>
        </w:rPr>
        <w:t xml:space="preserve">Local enrolments are only available for children who reside </w:t>
      </w:r>
      <w:r w:rsidRPr="0026214E">
        <w:rPr>
          <w:rFonts w:ascii="Arial" w:hAnsi="Arial" w:cs="Arial"/>
          <w:b/>
          <w:bCs/>
        </w:rPr>
        <w:t xml:space="preserve">permanently </w:t>
      </w:r>
      <w:r w:rsidRPr="0026214E">
        <w:rPr>
          <w:rFonts w:ascii="Arial" w:hAnsi="Arial" w:cs="Arial"/>
        </w:rPr>
        <w:t xml:space="preserve">within our local enrolment area. </w:t>
      </w:r>
      <w:r>
        <w:rPr>
          <w:rFonts w:ascii="Arial" w:hAnsi="Arial" w:cs="Arial"/>
        </w:rPr>
        <w:t xml:space="preserve"> </w:t>
      </w:r>
      <w:r w:rsidRPr="0026214E">
        <w:rPr>
          <w:rFonts w:ascii="Arial" w:hAnsi="Arial" w:cs="Arial"/>
        </w:rPr>
        <w:t xml:space="preserve">Living with friends or relatives </w:t>
      </w:r>
      <w:r w:rsidRPr="0026214E">
        <w:rPr>
          <w:rFonts w:ascii="Arial" w:hAnsi="Arial" w:cs="Arial"/>
          <w:b/>
          <w:bCs/>
        </w:rPr>
        <w:t xml:space="preserve">is not </w:t>
      </w:r>
      <w:r w:rsidRPr="0026214E">
        <w:rPr>
          <w:rFonts w:ascii="Arial" w:hAnsi="Arial" w:cs="Arial"/>
        </w:rPr>
        <w:t xml:space="preserve">considered a permanent change of address for enrolment purposes. </w:t>
      </w:r>
      <w:r>
        <w:rPr>
          <w:rFonts w:ascii="Arial" w:hAnsi="Arial" w:cs="Arial"/>
        </w:rPr>
        <w:t xml:space="preserve"> </w:t>
      </w:r>
      <w:r w:rsidRPr="0026214E">
        <w:rPr>
          <w:rFonts w:ascii="Arial" w:hAnsi="Arial" w:cs="Arial"/>
        </w:rPr>
        <w:t>The principal may request additional documentation to verify residency.</w:t>
      </w:r>
    </w:p>
    <w:p w:rsidR="005230D6" w:rsidRDefault="005230D6" w:rsidP="003E7C68">
      <w:pPr>
        <w:pStyle w:val="NormalWeb"/>
        <w:shd w:val="clear" w:color="auto" w:fill="FFFFFF"/>
        <w:spacing w:before="0" w:beforeAutospacing="0" w:after="0" w:afterAutospacing="0" w:line="276" w:lineRule="auto"/>
        <w:jc w:val="both"/>
        <w:rPr>
          <w:rFonts w:ascii="Arial" w:hAnsi="Arial" w:cs="Arial"/>
        </w:rPr>
      </w:pPr>
    </w:p>
    <w:p w:rsidR="00D30B20" w:rsidRDefault="00D30B20" w:rsidP="00D30B20">
      <w:pPr>
        <w:pStyle w:val="Default"/>
        <w:spacing w:line="276" w:lineRule="auto"/>
        <w:jc w:val="both"/>
      </w:pPr>
      <w:r>
        <w:t>Note, r</w:t>
      </w:r>
      <w:r w:rsidRPr="00C65741">
        <w:t xml:space="preserve">esidency refers to the address of the legal guardian with whom the child lives for the majority of the time. </w:t>
      </w:r>
      <w:r>
        <w:t xml:space="preserve"> </w:t>
      </w:r>
      <w:r w:rsidRPr="00C65741">
        <w:t>It does not refer to another member of the family, such as a grandparen</w:t>
      </w:r>
      <w:r>
        <w:t>t, relative or a family friend.</w:t>
      </w:r>
    </w:p>
    <w:p w:rsidR="00D30B20" w:rsidRDefault="00D30B20" w:rsidP="003E7C68">
      <w:pPr>
        <w:pStyle w:val="NormalWeb"/>
        <w:shd w:val="clear" w:color="auto" w:fill="FFFFFF"/>
        <w:spacing w:before="0" w:beforeAutospacing="0" w:after="0" w:afterAutospacing="0" w:line="276" w:lineRule="auto"/>
        <w:jc w:val="both"/>
        <w:rPr>
          <w:rFonts w:ascii="Arial" w:hAnsi="Arial" w:cs="Arial"/>
        </w:rPr>
      </w:pPr>
    </w:p>
    <w:p w:rsidR="00F80242" w:rsidRPr="00F80242" w:rsidRDefault="00F80242" w:rsidP="003E7C68">
      <w:pPr>
        <w:pStyle w:val="Default"/>
        <w:spacing w:line="276" w:lineRule="auto"/>
        <w:rPr>
          <w:b/>
          <w:bCs/>
        </w:rPr>
      </w:pPr>
      <w:r w:rsidRPr="00F80242">
        <w:rPr>
          <w:b/>
          <w:bCs/>
        </w:rPr>
        <w:t>Non-local Enrolments</w:t>
      </w:r>
      <w:r>
        <w:rPr>
          <w:b/>
          <w:bCs/>
        </w:rPr>
        <w:t>:</w:t>
      </w:r>
    </w:p>
    <w:p w:rsidR="00F80242" w:rsidRDefault="00F80242" w:rsidP="003E7C68">
      <w:pPr>
        <w:pStyle w:val="Default"/>
        <w:spacing w:line="276" w:lineRule="auto"/>
        <w:jc w:val="both"/>
      </w:pPr>
      <w:r>
        <w:t>The c</w:t>
      </w:r>
      <w:r w:rsidRPr="00F80242">
        <w:t xml:space="preserve">riteria for the enrolment of non-local students are written by the enrolment panel. </w:t>
      </w:r>
      <w:r>
        <w:t xml:space="preserve"> </w:t>
      </w:r>
      <w:r w:rsidRPr="00F80242">
        <w:t>The primary criteria include the availability of appropriate staff and permanent classroom accommodation</w:t>
      </w:r>
      <w:r>
        <w:t xml:space="preserve">.  </w:t>
      </w:r>
      <w:r w:rsidRPr="00F80242">
        <w:t xml:space="preserve">Applications will only be considered if </w:t>
      </w:r>
      <w:r w:rsidRPr="00F80242">
        <w:rPr>
          <w:b/>
          <w:bCs/>
        </w:rPr>
        <w:t xml:space="preserve">special circumstances </w:t>
      </w:r>
      <w:r w:rsidRPr="00F80242">
        <w:t xml:space="preserve">apply. </w:t>
      </w:r>
      <w:r>
        <w:t xml:space="preserve"> </w:t>
      </w:r>
      <w:r w:rsidRPr="00F80242">
        <w:t xml:space="preserve">Special circumstances </w:t>
      </w:r>
      <w:r w:rsidRPr="00F80242">
        <w:rPr>
          <w:b/>
          <w:bCs/>
        </w:rPr>
        <w:t xml:space="preserve">may </w:t>
      </w:r>
      <w:r w:rsidRPr="00F80242">
        <w:t>include the following (please note that t</w:t>
      </w:r>
      <w:r>
        <w:t>his is not an exhaustive list):</w:t>
      </w:r>
    </w:p>
    <w:p w:rsidR="00F80242" w:rsidRPr="00F80242" w:rsidRDefault="00F80242" w:rsidP="003E7C68">
      <w:pPr>
        <w:pStyle w:val="Default"/>
        <w:spacing w:line="276" w:lineRule="auto"/>
        <w:jc w:val="both"/>
      </w:pPr>
    </w:p>
    <w:p w:rsidR="00F80242" w:rsidRPr="00F80242" w:rsidRDefault="00F80242" w:rsidP="003E7C68">
      <w:pPr>
        <w:pStyle w:val="Default"/>
        <w:numPr>
          <w:ilvl w:val="0"/>
          <w:numId w:val="6"/>
        </w:numPr>
        <w:spacing w:after="30" w:line="276" w:lineRule="auto"/>
        <w:jc w:val="both"/>
      </w:pPr>
      <w:r>
        <w:t>T</w:t>
      </w:r>
      <w:r w:rsidRPr="00F80242">
        <w:t>he need for a gender bal</w:t>
      </w:r>
      <w:r>
        <w:t>ance in the relevant year group;</w:t>
      </w:r>
    </w:p>
    <w:p w:rsidR="00F80242" w:rsidRPr="00F80242" w:rsidRDefault="00F80242" w:rsidP="003E7C68">
      <w:pPr>
        <w:pStyle w:val="Default"/>
        <w:numPr>
          <w:ilvl w:val="0"/>
          <w:numId w:val="6"/>
        </w:numPr>
        <w:spacing w:after="30" w:line="276" w:lineRule="auto"/>
        <w:jc w:val="both"/>
      </w:pPr>
      <w:r>
        <w:t>E</w:t>
      </w:r>
      <w:r w:rsidRPr="00F80242">
        <w:t>vidence of talents and abilities that support the ethos and special programs of the school (as det</w:t>
      </w:r>
      <w:r>
        <w:t>ermined by the enrolment panel);</w:t>
      </w:r>
    </w:p>
    <w:p w:rsidR="00F80242" w:rsidRPr="00F80242" w:rsidRDefault="00F80242" w:rsidP="003E7C68">
      <w:pPr>
        <w:pStyle w:val="Default"/>
        <w:numPr>
          <w:ilvl w:val="0"/>
          <w:numId w:val="6"/>
        </w:numPr>
        <w:spacing w:after="30" w:line="276" w:lineRule="auto"/>
        <w:jc w:val="both"/>
      </w:pPr>
      <w:r>
        <w:t>A</w:t>
      </w:r>
      <w:r w:rsidRPr="00F80242">
        <w:t>vailability of subje</w:t>
      </w:r>
      <w:r>
        <w:t>cts or combinations of subjects;</w:t>
      </w:r>
    </w:p>
    <w:p w:rsidR="00F80242" w:rsidRPr="00F80242" w:rsidRDefault="00F80242" w:rsidP="003E7C68">
      <w:pPr>
        <w:pStyle w:val="Default"/>
        <w:numPr>
          <w:ilvl w:val="0"/>
          <w:numId w:val="6"/>
        </w:numPr>
        <w:spacing w:after="30" w:line="276" w:lineRule="auto"/>
        <w:jc w:val="both"/>
      </w:pPr>
      <w:r>
        <w:t>T</w:t>
      </w:r>
      <w:r w:rsidRPr="00F80242">
        <w:t>he child has siblings already enrolled in mainstream (this doe</w:t>
      </w:r>
      <w:r>
        <w:t>s not include the support unit);</w:t>
      </w:r>
    </w:p>
    <w:p w:rsidR="00F80242" w:rsidRPr="00F80242" w:rsidRDefault="00F80242" w:rsidP="003E7C68">
      <w:pPr>
        <w:pStyle w:val="Default"/>
        <w:numPr>
          <w:ilvl w:val="0"/>
          <w:numId w:val="6"/>
        </w:numPr>
        <w:spacing w:after="30" w:line="276" w:lineRule="auto"/>
        <w:jc w:val="both"/>
      </w:pPr>
      <w:r>
        <w:t>T</w:t>
      </w:r>
      <w:r w:rsidRPr="00F80242">
        <w:t xml:space="preserve">he child has a parent who </w:t>
      </w:r>
      <w:r w:rsidR="00804AE1">
        <w:t>is a staff member at the school;</w:t>
      </w:r>
    </w:p>
    <w:p w:rsidR="00F80242" w:rsidRPr="00F80242" w:rsidRDefault="00F80242" w:rsidP="003E7C68">
      <w:pPr>
        <w:pStyle w:val="Default"/>
        <w:numPr>
          <w:ilvl w:val="0"/>
          <w:numId w:val="6"/>
        </w:numPr>
        <w:spacing w:line="276" w:lineRule="auto"/>
        <w:jc w:val="both"/>
      </w:pPr>
      <w:r>
        <w:lastRenderedPageBreak/>
        <w:t>O</w:t>
      </w:r>
      <w:r w:rsidRPr="00F80242">
        <w:t>verseas fee paying student (as approved by the NSW Department of Education) as assessed on a case by case basis with reference to t</w:t>
      </w:r>
      <w:r>
        <w:t>he local residence of the child.</w:t>
      </w:r>
    </w:p>
    <w:p w:rsidR="00F80242" w:rsidRPr="00F80242" w:rsidRDefault="00F80242" w:rsidP="003E7C68">
      <w:pPr>
        <w:pStyle w:val="Default"/>
        <w:spacing w:line="276" w:lineRule="auto"/>
        <w:jc w:val="both"/>
      </w:pPr>
    </w:p>
    <w:p w:rsidR="00F80242" w:rsidRDefault="00F80242" w:rsidP="003E7C68">
      <w:pPr>
        <w:pStyle w:val="Default"/>
        <w:spacing w:line="276" w:lineRule="auto"/>
        <w:jc w:val="both"/>
      </w:pPr>
      <w:r w:rsidRPr="00F80242">
        <w:t xml:space="preserve">The principal will ensure that the above </w:t>
      </w:r>
      <w:r w:rsidR="0097240F" w:rsidRPr="00F80242">
        <w:t>criterion is</w:t>
      </w:r>
      <w:r w:rsidRPr="00F80242">
        <w:t xml:space="preserve"> applied equitably to all applicants. The criteria will be applied in a </w:t>
      </w:r>
      <w:r w:rsidRPr="00F80242">
        <w:rPr>
          <w:b/>
          <w:bCs/>
        </w:rPr>
        <w:t>holistic manner</w:t>
      </w:r>
      <w:r w:rsidRPr="00F80242">
        <w:t xml:space="preserve">. </w:t>
      </w:r>
      <w:r>
        <w:t xml:space="preserve"> </w:t>
      </w:r>
      <w:r w:rsidRPr="00F80242">
        <w:t xml:space="preserve">There is </w:t>
      </w:r>
      <w:r w:rsidRPr="00F80242">
        <w:rPr>
          <w:b/>
          <w:bCs/>
        </w:rPr>
        <w:t>no implied order created by the above criteria</w:t>
      </w:r>
      <w:r w:rsidRPr="00F80242">
        <w:t xml:space="preserve">. </w:t>
      </w:r>
      <w:r>
        <w:t xml:space="preserve"> </w:t>
      </w:r>
      <w:r w:rsidRPr="00F80242">
        <w:t>In applying these criteria to individual cases, the enrolment panel will consider matters presented in writing only and will not consider oral submissi</w:t>
      </w:r>
      <w:r>
        <w:t>ons.</w:t>
      </w:r>
    </w:p>
    <w:p w:rsidR="00F80242" w:rsidRPr="00F80242" w:rsidRDefault="00F80242" w:rsidP="003E7C68">
      <w:pPr>
        <w:pStyle w:val="Default"/>
        <w:spacing w:line="276" w:lineRule="auto"/>
        <w:jc w:val="both"/>
      </w:pPr>
    </w:p>
    <w:p w:rsidR="00F80242" w:rsidRDefault="00F80242" w:rsidP="003E7C68">
      <w:pPr>
        <w:pStyle w:val="Default"/>
        <w:spacing w:line="276" w:lineRule="auto"/>
        <w:jc w:val="both"/>
      </w:pPr>
      <w:r w:rsidRPr="00F80242">
        <w:t>It is impo</w:t>
      </w:r>
      <w:r>
        <w:t>rtant for parents to note that:</w:t>
      </w:r>
    </w:p>
    <w:p w:rsidR="00F80242" w:rsidRPr="00F80242" w:rsidRDefault="00F80242" w:rsidP="003E7C68">
      <w:pPr>
        <w:pStyle w:val="Default"/>
        <w:spacing w:line="276" w:lineRule="auto"/>
        <w:jc w:val="both"/>
      </w:pPr>
    </w:p>
    <w:p w:rsidR="00F80242" w:rsidRPr="00F80242" w:rsidRDefault="00F80242" w:rsidP="003E7C68">
      <w:pPr>
        <w:pStyle w:val="Default"/>
        <w:numPr>
          <w:ilvl w:val="0"/>
          <w:numId w:val="7"/>
        </w:numPr>
        <w:spacing w:after="33" w:line="276" w:lineRule="auto"/>
        <w:jc w:val="both"/>
      </w:pPr>
      <w:r>
        <w:t xml:space="preserve">A </w:t>
      </w:r>
      <w:r w:rsidRPr="00F80242">
        <w:t xml:space="preserve">child with a sibling enrolled at the school </w:t>
      </w:r>
      <w:r w:rsidRPr="00F80242">
        <w:rPr>
          <w:b/>
          <w:bCs/>
        </w:rPr>
        <w:t xml:space="preserve">does not </w:t>
      </w:r>
      <w:r w:rsidRPr="00F80242">
        <w:t>have an automatic right</w:t>
      </w:r>
      <w:r>
        <w:t xml:space="preserve"> to enrolment;</w:t>
      </w:r>
    </w:p>
    <w:p w:rsidR="005230D6" w:rsidRDefault="00F80242" w:rsidP="003E7C68">
      <w:pPr>
        <w:pStyle w:val="Default"/>
        <w:numPr>
          <w:ilvl w:val="0"/>
          <w:numId w:val="7"/>
        </w:numPr>
        <w:spacing w:line="276" w:lineRule="auto"/>
        <w:jc w:val="both"/>
      </w:pPr>
      <w:r>
        <w:t xml:space="preserve">A </w:t>
      </w:r>
      <w:r w:rsidRPr="00F80242">
        <w:t xml:space="preserve">child who attends a partner primary school </w:t>
      </w:r>
      <w:r w:rsidRPr="00F80242">
        <w:rPr>
          <w:b/>
          <w:bCs/>
        </w:rPr>
        <w:t xml:space="preserve">does not </w:t>
      </w:r>
      <w:r w:rsidRPr="00F80242">
        <w:t xml:space="preserve">have </w:t>
      </w:r>
      <w:r>
        <w:t>an automatic right to enrolment.</w:t>
      </w:r>
    </w:p>
    <w:p w:rsidR="00DD701B" w:rsidRPr="00C65741" w:rsidRDefault="00A54D28" w:rsidP="003E7C68">
      <w:pPr>
        <w:tabs>
          <w:tab w:val="left" w:pos="1134"/>
          <w:tab w:val="left" w:pos="6946"/>
        </w:tabs>
        <w:autoSpaceDE w:val="0"/>
        <w:autoSpaceDN w:val="0"/>
        <w:adjustRightInd w:val="0"/>
        <w:spacing w:before="120" w:line="276" w:lineRule="auto"/>
        <w:jc w:val="both"/>
        <w:rPr>
          <w:rFonts w:eastAsiaTheme="minorHAnsi"/>
          <w:b/>
          <w:lang w:val="en-US"/>
        </w:rPr>
      </w:pPr>
      <w:r>
        <w:rPr>
          <w:rFonts w:eastAsiaTheme="minorHAnsi"/>
          <w:b/>
          <w:lang w:val="en-US"/>
        </w:rPr>
        <w:t>Enrolment Placement P</w:t>
      </w:r>
      <w:r w:rsidR="00DD701B" w:rsidRPr="00C65741">
        <w:rPr>
          <w:rFonts w:eastAsiaTheme="minorHAnsi"/>
          <w:b/>
          <w:lang w:val="en-US"/>
        </w:rPr>
        <w:t>anel:</w:t>
      </w:r>
    </w:p>
    <w:p w:rsidR="00C65741" w:rsidRDefault="00DD701B" w:rsidP="003E7C68">
      <w:pPr>
        <w:tabs>
          <w:tab w:val="left" w:pos="1134"/>
          <w:tab w:val="left" w:pos="6946"/>
        </w:tabs>
        <w:autoSpaceDE w:val="0"/>
        <w:autoSpaceDN w:val="0"/>
        <w:adjustRightInd w:val="0"/>
        <w:spacing w:line="276" w:lineRule="auto"/>
        <w:jc w:val="both"/>
        <w:rPr>
          <w:rFonts w:cs="Arial"/>
          <w:color w:val="000000"/>
        </w:rPr>
      </w:pPr>
      <w:r w:rsidRPr="00DD701B">
        <w:rPr>
          <w:rFonts w:eastAsiaTheme="minorHAnsi"/>
          <w:lang w:val="en-US"/>
        </w:rPr>
        <w:t xml:space="preserve">The Placement Panel will meet to consider and make recommendations on the potential enrolment of all non-local enrolment applications. For complex enrolment applications, which may involve contact with other agencies, </w:t>
      </w:r>
      <w:r w:rsidRPr="00DD701B">
        <w:rPr>
          <w:rFonts w:cs="Arial"/>
          <w:color w:val="000000"/>
        </w:rPr>
        <w:t xml:space="preserve">the Principal, chair of the WH&amp;S committee and the School Counsellor will meet to consider any information related to a possible WH&amp;S risk associated with the enrolment. </w:t>
      </w:r>
      <w:r w:rsidR="00C21613">
        <w:rPr>
          <w:rFonts w:cs="Arial"/>
          <w:color w:val="000000"/>
        </w:rPr>
        <w:t xml:space="preserve"> </w:t>
      </w:r>
      <w:r w:rsidRPr="00DD701B">
        <w:rPr>
          <w:rFonts w:cs="Arial"/>
          <w:color w:val="000000"/>
        </w:rPr>
        <w:t xml:space="preserve">Where necessary, the Principal will seek further advice from Educational Services, the </w:t>
      </w:r>
      <w:r>
        <w:rPr>
          <w:rFonts w:cs="Arial"/>
          <w:color w:val="000000"/>
        </w:rPr>
        <w:t xml:space="preserve">Senior Psychologist </w:t>
      </w:r>
      <w:r w:rsidRPr="00DD701B">
        <w:rPr>
          <w:rFonts w:cs="Arial"/>
          <w:color w:val="000000"/>
        </w:rPr>
        <w:t>and any other agencies involved with the student seeking enrolment.</w:t>
      </w:r>
    </w:p>
    <w:p w:rsidR="003E7C68" w:rsidRPr="00C65741" w:rsidRDefault="003E7C68" w:rsidP="003E7C68">
      <w:pPr>
        <w:tabs>
          <w:tab w:val="left" w:pos="1134"/>
          <w:tab w:val="left" w:pos="6946"/>
        </w:tabs>
        <w:autoSpaceDE w:val="0"/>
        <w:autoSpaceDN w:val="0"/>
        <w:adjustRightInd w:val="0"/>
        <w:spacing w:line="276" w:lineRule="auto"/>
        <w:jc w:val="both"/>
        <w:rPr>
          <w:rFonts w:cs="Arial"/>
          <w:color w:val="000000"/>
        </w:rPr>
      </w:pPr>
    </w:p>
    <w:p w:rsidR="00C65741" w:rsidRDefault="00C65741" w:rsidP="003E7C68">
      <w:pPr>
        <w:pStyle w:val="Default"/>
        <w:spacing w:line="276" w:lineRule="auto"/>
        <w:rPr>
          <w:b/>
          <w:bCs/>
        </w:rPr>
      </w:pPr>
      <w:r w:rsidRPr="00C65741">
        <w:rPr>
          <w:b/>
          <w:bCs/>
        </w:rPr>
        <w:t>Documentation:</w:t>
      </w:r>
    </w:p>
    <w:p w:rsidR="0074295E" w:rsidRDefault="0074295E" w:rsidP="0074295E">
      <w:pPr>
        <w:jc w:val="center"/>
        <w:rPr>
          <w:rFonts w:cs="Arial"/>
          <w:b/>
          <w:sz w:val="22"/>
          <w:szCs w:val="22"/>
        </w:rPr>
      </w:pPr>
      <w:r w:rsidRPr="000045A2">
        <w:rPr>
          <w:rFonts w:cs="Arial"/>
          <w:b/>
          <w:sz w:val="22"/>
          <w:szCs w:val="22"/>
        </w:rPr>
        <w:t xml:space="preserve">Required Identification for </w:t>
      </w:r>
      <w:r>
        <w:rPr>
          <w:rFonts w:cs="Arial"/>
          <w:b/>
          <w:sz w:val="22"/>
          <w:szCs w:val="22"/>
        </w:rPr>
        <w:t xml:space="preserve">All </w:t>
      </w:r>
      <w:r w:rsidRPr="000045A2">
        <w:rPr>
          <w:rFonts w:cs="Arial"/>
          <w:b/>
          <w:sz w:val="22"/>
          <w:szCs w:val="22"/>
        </w:rPr>
        <w:t>Enrolment</w:t>
      </w:r>
      <w:r>
        <w:rPr>
          <w:rFonts w:cs="Arial"/>
          <w:b/>
          <w:sz w:val="22"/>
          <w:szCs w:val="22"/>
        </w:rPr>
        <w:t>s</w:t>
      </w:r>
    </w:p>
    <w:p w:rsidR="0074295E" w:rsidRDefault="0074295E" w:rsidP="0074295E">
      <w:pPr>
        <w:rPr>
          <w:rFonts w:cs="Arial"/>
          <w:b/>
          <w:sz w:val="22"/>
          <w:szCs w:val="22"/>
        </w:rPr>
      </w:pPr>
    </w:p>
    <w:p w:rsidR="0074295E" w:rsidRPr="0074295E" w:rsidRDefault="0074295E" w:rsidP="0074295E">
      <w:pPr>
        <w:spacing w:line="276" w:lineRule="auto"/>
        <w:jc w:val="both"/>
        <w:rPr>
          <w:rFonts w:cs="Arial"/>
          <w:b/>
          <w:lang w:eastAsia="en-US"/>
        </w:rPr>
      </w:pPr>
      <w:r w:rsidRPr="0074295E">
        <w:rPr>
          <w:rFonts w:cs="Arial"/>
          <w:b/>
        </w:rPr>
        <w:t>Proof of Address – 2 original documents required as follows</w:t>
      </w:r>
    </w:p>
    <w:p w:rsidR="0074295E" w:rsidRPr="00D30B20" w:rsidRDefault="0074295E" w:rsidP="0074295E">
      <w:pPr>
        <w:spacing w:line="276" w:lineRule="auto"/>
        <w:jc w:val="both"/>
        <w:rPr>
          <w:rFonts w:cs="Arial"/>
          <w:b/>
          <w:color w:val="000000"/>
          <w:highlight w:val="yellow"/>
        </w:rPr>
      </w:pPr>
    </w:p>
    <w:p w:rsidR="0074295E" w:rsidRPr="00D30B20" w:rsidRDefault="0074295E" w:rsidP="0074295E">
      <w:pPr>
        <w:spacing w:line="276" w:lineRule="auto"/>
        <w:jc w:val="both"/>
        <w:rPr>
          <w:rFonts w:cs="Arial"/>
          <w:lang w:eastAsia="en-US"/>
        </w:rPr>
      </w:pPr>
      <w:r w:rsidRPr="00D30B20">
        <w:rPr>
          <w:rFonts w:cs="Arial"/>
          <w:lang w:eastAsia="en-US"/>
        </w:rPr>
        <w:t>If owner of property – Originals of:</w:t>
      </w:r>
    </w:p>
    <w:p w:rsidR="0074295E" w:rsidRPr="00D30B20" w:rsidRDefault="0074295E" w:rsidP="0074295E">
      <w:pPr>
        <w:pStyle w:val="ListParagraph"/>
        <w:numPr>
          <w:ilvl w:val="0"/>
          <w:numId w:val="14"/>
        </w:numPr>
        <w:jc w:val="both"/>
        <w:rPr>
          <w:rFonts w:ascii="Arial" w:hAnsi="Arial" w:cs="Arial"/>
          <w:sz w:val="24"/>
          <w:szCs w:val="24"/>
        </w:rPr>
      </w:pPr>
      <w:r w:rsidRPr="00D30B20">
        <w:rPr>
          <w:rFonts w:ascii="Arial" w:hAnsi="Arial" w:cs="Arial"/>
          <w:sz w:val="24"/>
          <w:szCs w:val="24"/>
        </w:rPr>
        <w:t>Council Rates Notice</w:t>
      </w:r>
    </w:p>
    <w:p w:rsidR="0074295E" w:rsidRPr="00D30B20" w:rsidRDefault="0074295E" w:rsidP="0074295E">
      <w:pPr>
        <w:pStyle w:val="ListParagraph"/>
        <w:numPr>
          <w:ilvl w:val="0"/>
          <w:numId w:val="14"/>
        </w:numPr>
        <w:jc w:val="both"/>
        <w:rPr>
          <w:rFonts w:ascii="Arial" w:hAnsi="Arial" w:cs="Arial"/>
          <w:sz w:val="24"/>
          <w:szCs w:val="24"/>
        </w:rPr>
      </w:pPr>
      <w:r w:rsidRPr="00D30B20">
        <w:rPr>
          <w:rFonts w:ascii="Arial" w:hAnsi="Arial" w:cs="Arial"/>
          <w:sz w:val="24"/>
          <w:szCs w:val="24"/>
        </w:rPr>
        <w:t>One of most current Electricity/Gas/Water Accounts</w:t>
      </w:r>
    </w:p>
    <w:p w:rsidR="0074295E" w:rsidRPr="00D30B20" w:rsidRDefault="0074295E" w:rsidP="0074295E">
      <w:pPr>
        <w:spacing w:line="276" w:lineRule="auto"/>
        <w:jc w:val="both"/>
        <w:rPr>
          <w:rFonts w:cs="Arial"/>
          <w:lang w:eastAsia="en-US"/>
        </w:rPr>
      </w:pPr>
    </w:p>
    <w:p w:rsidR="0074295E" w:rsidRPr="00D30B20" w:rsidRDefault="0074295E" w:rsidP="0074295E">
      <w:pPr>
        <w:spacing w:line="276" w:lineRule="auto"/>
        <w:jc w:val="both"/>
        <w:rPr>
          <w:rFonts w:cs="Arial"/>
          <w:lang w:eastAsia="en-US"/>
        </w:rPr>
      </w:pPr>
      <w:r w:rsidRPr="00D30B20">
        <w:rPr>
          <w:rFonts w:cs="Arial"/>
          <w:lang w:eastAsia="en-US"/>
        </w:rPr>
        <w:t>If renting – Originals of:</w:t>
      </w:r>
    </w:p>
    <w:p w:rsidR="0074295E" w:rsidRPr="00D30B20" w:rsidRDefault="0074295E" w:rsidP="0074295E">
      <w:pPr>
        <w:pStyle w:val="ListParagraph"/>
        <w:numPr>
          <w:ilvl w:val="0"/>
          <w:numId w:val="15"/>
        </w:numPr>
        <w:spacing w:after="0"/>
        <w:jc w:val="both"/>
        <w:rPr>
          <w:rFonts w:ascii="Arial" w:hAnsi="Arial" w:cs="Arial"/>
          <w:sz w:val="24"/>
          <w:szCs w:val="24"/>
        </w:rPr>
      </w:pPr>
      <w:r w:rsidRPr="00D30B20">
        <w:rPr>
          <w:rFonts w:ascii="Arial" w:hAnsi="Arial" w:cs="Arial"/>
          <w:sz w:val="24"/>
          <w:szCs w:val="24"/>
        </w:rPr>
        <w:t>Rental/Lease Agreement Contract</w:t>
      </w:r>
    </w:p>
    <w:p w:rsidR="0074295E" w:rsidRPr="00D30B20" w:rsidRDefault="0074295E" w:rsidP="0074295E">
      <w:pPr>
        <w:pStyle w:val="ListParagraph"/>
        <w:numPr>
          <w:ilvl w:val="0"/>
          <w:numId w:val="15"/>
        </w:numPr>
        <w:spacing w:after="0"/>
        <w:jc w:val="both"/>
        <w:rPr>
          <w:rFonts w:ascii="Arial" w:hAnsi="Arial" w:cs="Arial"/>
          <w:sz w:val="24"/>
          <w:szCs w:val="24"/>
        </w:rPr>
      </w:pPr>
      <w:r w:rsidRPr="00D30B20">
        <w:rPr>
          <w:rFonts w:ascii="Arial" w:hAnsi="Arial" w:cs="Arial"/>
          <w:sz w:val="24"/>
          <w:szCs w:val="24"/>
        </w:rPr>
        <w:t>One of most current Electricity/Gas/Water Accounts</w:t>
      </w:r>
    </w:p>
    <w:p w:rsidR="0074295E" w:rsidRPr="00D30B20" w:rsidRDefault="0074295E" w:rsidP="0074295E">
      <w:pPr>
        <w:spacing w:line="276" w:lineRule="auto"/>
        <w:jc w:val="both"/>
        <w:rPr>
          <w:rFonts w:cs="Arial"/>
          <w:lang w:eastAsia="en-US"/>
        </w:rPr>
      </w:pPr>
    </w:p>
    <w:p w:rsidR="0074295E" w:rsidRPr="0074295E" w:rsidRDefault="0074295E" w:rsidP="0074295E">
      <w:pPr>
        <w:spacing w:line="276" w:lineRule="auto"/>
        <w:jc w:val="both"/>
        <w:rPr>
          <w:rFonts w:cs="Arial"/>
          <w:b/>
          <w:lang w:eastAsia="en-US"/>
        </w:rPr>
      </w:pPr>
      <w:r w:rsidRPr="00D30B20">
        <w:rPr>
          <w:rFonts w:cs="Arial"/>
          <w:lang w:eastAsia="en-US"/>
        </w:rPr>
        <w:t>If sharing a house and Proof of Address documents are not</w:t>
      </w:r>
      <w:r w:rsidRPr="0074295E">
        <w:rPr>
          <w:rFonts w:cs="Arial"/>
          <w:lang w:eastAsia="en-US"/>
        </w:rPr>
        <w:t xml:space="preserve"> in your name we require:</w:t>
      </w:r>
    </w:p>
    <w:p w:rsidR="0074295E" w:rsidRPr="0074295E" w:rsidRDefault="0074295E" w:rsidP="0074295E">
      <w:pPr>
        <w:pStyle w:val="ListParagraph"/>
        <w:numPr>
          <w:ilvl w:val="0"/>
          <w:numId w:val="16"/>
        </w:numPr>
        <w:jc w:val="both"/>
        <w:rPr>
          <w:rFonts w:ascii="Arial" w:hAnsi="Arial" w:cs="Arial"/>
          <w:sz w:val="24"/>
          <w:szCs w:val="24"/>
        </w:rPr>
      </w:pPr>
      <w:r w:rsidRPr="0074295E">
        <w:rPr>
          <w:rFonts w:ascii="Arial" w:hAnsi="Arial" w:cs="Arial"/>
          <w:sz w:val="24"/>
          <w:szCs w:val="24"/>
        </w:rPr>
        <w:t>A Statutory Declaration from you stating you are living at the said address.  Must be signed by a Justice of the Peace (JP)</w:t>
      </w:r>
    </w:p>
    <w:p w:rsidR="0074295E" w:rsidRPr="0074295E" w:rsidRDefault="0074295E" w:rsidP="0074295E">
      <w:pPr>
        <w:pStyle w:val="ListParagraph"/>
        <w:numPr>
          <w:ilvl w:val="0"/>
          <w:numId w:val="16"/>
        </w:numPr>
        <w:jc w:val="both"/>
        <w:rPr>
          <w:rFonts w:ascii="Arial" w:hAnsi="Arial" w:cs="Arial"/>
          <w:sz w:val="24"/>
          <w:szCs w:val="24"/>
        </w:rPr>
      </w:pPr>
      <w:r w:rsidRPr="0074295E">
        <w:rPr>
          <w:rFonts w:ascii="Arial" w:hAnsi="Arial" w:cs="Arial"/>
          <w:sz w:val="24"/>
          <w:szCs w:val="24"/>
        </w:rPr>
        <w:lastRenderedPageBreak/>
        <w:t>A Statutory Declaration from the owners of the property stating that they have agreed for you to live with them.  Must be signed by a Justice of the Peace (JP)</w:t>
      </w:r>
    </w:p>
    <w:p w:rsidR="0074295E" w:rsidRPr="0074295E" w:rsidRDefault="0074295E" w:rsidP="0074295E">
      <w:pPr>
        <w:pStyle w:val="ListParagraph"/>
        <w:numPr>
          <w:ilvl w:val="0"/>
          <w:numId w:val="16"/>
        </w:numPr>
        <w:jc w:val="both"/>
        <w:rPr>
          <w:rFonts w:ascii="Arial" w:hAnsi="Arial" w:cs="Arial"/>
          <w:sz w:val="24"/>
          <w:szCs w:val="24"/>
        </w:rPr>
      </w:pPr>
      <w:r w:rsidRPr="0074295E">
        <w:rPr>
          <w:rFonts w:ascii="Arial" w:hAnsi="Arial" w:cs="Arial"/>
          <w:sz w:val="24"/>
          <w:szCs w:val="24"/>
        </w:rPr>
        <w:t>Two Proof of Address documents ‘as above’ in the owner/leasee name</w:t>
      </w:r>
    </w:p>
    <w:p w:rsidR="0074295E" w:rsidRPr="0074295E" w:rsidRDefault="0074295E" w:rsidP="0074295E">
      <w:pPr>
        <w:spacing w:line="276" w:lineRule="auto"/>
        <w:jc w:val="both"/>
        <w:rPr>
          <w:rFonts w:cs="Arial"/>
          <w:b/>
          <w:lang w:eastAsia="en-US"/>
        </w:rPr>
      </w:pPr>
      <w:r w:rsidRPr="0074295E">
        <w:rPr>
          <w:rFonts w:cs="Arial"/>
          <w:b/>
          <w:lang w:eastAsia="en-US"/>
        </w:rPr>
        <w:t>If the prospective student is a relative or child in your care who has come to live with you, we also require:</w:t>
      </w:r>
    </w:p>
    <w:p w:rsidR="0074295E" w:rsidRPr="0074295E" w:rsidRDefault="0074295E" w:rsidP="0074295E">
      <w:pPr>
        <w:spacing w:line="276" w:lineRule="auto"/>
        <w:jc w:val="both"/>
        <w:rPr>
          <w:rFonts w:cs="Arial"/>
          <w:lang w:eastAsia="en-US"/>
        </w:rPr>
      </w:pPr>
    </w:p>
    <w:p w:rsidR="0074295E" w:rsidRPr="0074295E" w:rsidRDefault="0074295E" w:rsidP="0074295E">
      <w:pPr>
        <w:pStyle w:val="ListParagraph"/>
        <w:numPr>
          <w:ilvl w:val="0"/>
          <w:numId w:val="17"/>
        </w:numPr>
        <w:spacing w:after="0"/>
        <w:jc w:val="both"/>
        <w:rPr>
          <w:rFonts w:ascii="Arial" w:hAnsi="Arial" w:cs="Arial"/>
          <w:sz w:val="24"/>
          <w:szCs w:val="24"/>
        </w:rPr>
      </w:pPr>
      <w:r w:rsidRPr="0074295E">
        <w:rPr>
          <w:rFonts w:ascii="Arial" w:hAnsi="Arial" w:cs="Arial"/>
          <w:sz w:val="24"/>
          <w:szCs w:val="24"/>
        </w:rPr>
        <w:t>Official documentation regarding change of guardianship</w:t>
      </w:r>
    </w:p>
    <w:p w:rsidR="0074295E" w:rsidRPr="0074295E" w:rsidRDefault="0074295E" w:rsidP="0074295E">
      <w:pPr>
        <w:spacing w:line="276" w:lineRule="auto"/>
        <w:jc w:val="both"/>
        <w:rPr>
          <w:rFonts w:cs="Arial"/>
          <w:b/>
        </w:rPr>
      </w:pPr>
    </w:p>
    <w:p w:rsidR="0074295E" w:rsidRPr="0074295E" w:rsidRDefault="0074295E" w:rsidP="0074295E">
      <w:pPr>
        <w:spacing w:line="276" w:lineRule="auto"/>
        <w:jc w:val="both"/>
        <w:rPr>
          <w:rFonts w:cs="Arial"/>
          <w:b/>
        </w:rPr>
      </w:pPr>
      <w:r w:rsidRPr="0074295E">
        <w:rPr>
          <w:rFonts w:cs="Arial"/>
          <w:b/>
        </w:rPr>
        <w:t>Proof of Identity</w:t>
      </w:r>
      <w:r>
        <w:rPr>
          <w:rFonts w:cs="Arial"/>
          <w:b/>
        </w:rPr>
        <w:t>:</w:t>
      </w:r>
    </w:p>
    <w:p w:rsidR="0074295E" w:rsidRPr="0074295E" w:rsidRDefault="0074295E" w:rsidP="0074295E">
      <w:pPr>
        <w:spacing w:line="276" w:lineRule="auto"/>
        <w:jc w:val="both"/>
        <w:rPr>
          <w:rFonts w:cs="Arial"/>
        </w:rPr>
      </w:pPr>
    </w:p>
    <w:p w:rsidR="0074295E" w:rsidRPr="0074295E" w:rsidRDefault="0074295E" w:rsidP="0074295E">
      <w:pPr>
        <w:spacing w:line="276" w:lineRule="auto"/>
        <w:jc w:val="both"/>
        <w:rPr>
          <w:rFonts w:cs="Arial"/>
        </w:rPr>
      </w:pPr>
      <w:r w:rsidRPr="0074295E">
        <w:rPr>
          <w:rFonts w:cs="Arial"/>
        </w:rPr>
        <w:t>Students enrolling must produce one of the following documents:</w:t>
      </w:r>
    </w:p>
    <w:p w:rsidR="0074295E" w:rsidRPr="0074295E" w:rsidRDefault="0074295E" w:rsidP="0074295E">
      <w:pPr>
        <w:spacing w:line="276" w:lineRule="auto"/>
        <w:jc w:val="both"/>
        <w:rPr>
          <w:rFonts w:cs="Arial"/>
        </w:rPr>
      </w:pPr>
    </w:p>
    <w:p w:rsidR="0074295E" w:rsidRPr="0074295E" w:rsidRDefault="0074295E" w:rsidP="0074295E">
      <w:pPr>
        <w:pStyle w:val="ListParagraph"/>
        <w:numPr>
          <w:ilvl w:val="0"/>
          <w:numId w:val="17"/>
        </w:numPr>
        <w:jc w:val="both"/>
        <w:rPr>
          <w:rFonts w:ascii="Arial" w:hAnsi="Arial" w:cs="Arial"/>
          <w:sz w:val="24"/>
          <w:szCs w:val="24"/>
        </w:rPr>
      </w:pPr>
      <w:r w:rsidRPr="0074295E">
        <w:rPr>
          <w:rFonts w:ascii="Arial" w:hAnsi="Arial" w:cs="Arial"/>
          <w:b/>
          <w:sz w:val="24"/>
          <w:szCs w:val="24"/>
        </w:rPr>
        <w:t>Birth Certificate</w:t>
      </w:r>
      <w:r w:rsidRPr="0074295E">
        <w:rPr>
          <w:rFonts w:ascii="Arial" w:hAnsi="Arial" w:cs="Arial"/>
          <w:sz w:val="24"/>
          <w:szCs w:val="24"/>
        </w:rPr>
        <w:t xml:space="preserve"> – if the child and parent/s born in Australia or New Zealand</w:t>
      </w:r>
      <w:r>
        <w:rPr>
          <w:rFonts w:ascii="Arial" w:hAnsi="Arial" w:cs="Arial"/>
          <w:sz w:val="24"/>
          <w:szCs w:val="24"/>
        </w:rPr>
        <w:t>.</w:t>
      </w:r>
    </w:p>
    <w:p w:rsidR="0074295E" w:rsidRPr="0074295E" w:rsidRDefault="0074295E" w:rsidP="0074295E">
      <w:pPr>
        <w:pStyle w:val="ListParagraph"/>
        <w:numPr>
          <w:ilvl w:val="0"/>
          <w:numId w:val="17"/>
        </w:numPr>
        <w:jc w:val="both"/>
        <w:rPr>
          <w:rFonts w:ascii="Arial" w:hAnsi="Arial" w:cs="Arial"/>
          <w:sz w:val="24"/>
          <w:szCs w:val="24"/>
        </w:rPr>
      </w:pPr>
      <w:r w:rsidRPr="0074295E">
        <w:rPr>
          <w:rFonts w:ascii="Arial" w:hAnsi="Arial" w:cs="Arial"/>
          <w:b/>
          <w:sz w:val="24"/>
          <w:szCs w:val="24"/>
        </w:rPr>
        <w:t xml:space="preserve">Passport </w:t>
      </w:r>
      <w:r w:rsidRPr="0074295E">
        <w:rPr>
          <w:rFonts w:ascii="Arial" w:hAnsi="Arial" w:cs="Arial"/>
          <w:sz w:val="24"/>
          <w:szCs w:val="24"/>
        </w:rPr>
        <w:t xml:space="preserve">or </w:t>
      </w:r>
      <w:r w:rsidRPr="0074295E">
        <w:rPr>
          <w:rFonts w:ascii="Arial" w:hAnsi="Arial" w:cs="Arial"/>
          <w:b/>
          <w:sz w:val="24"/>
          <w:szCs w:val="24"/>
        </w:rPr>
        <w:t>Australian Citizenship</w:t>
      </w:r>
      <w:r w:rsidRPr="0074295E">
        <w:rPr>
          <w:rFonts w:ascii="Arial" w:hAnsi="Arial" w:cs="Arial"/>
          <w:sz w:val="24"/>
          <w:szCs w:val="24"/>
        </w:rPr>
        <w:t xml:space="preserve"> – if the child was born overseas and is an Australian Citizen</w:t>
      </w:r>
      <w:r>
        <w:rPr>
          <w:rFonts w:ascii="Arial" w:hAnsi="Arial" w:cs="Arial"/>
          <w:sz w:val="24"/>
          <w:szCs w:val="24"/>
        </w:rPr>
        <w:t>.</w:t>
      </w:r>
    </w:p>
    <w:p w:rsidR="0074295E" w:rsidRPr="0074295E" w:rsidRDefault="0074295E" w:rsidP="0074295E">
      <w:pPr>
        <w:pStyle w:val="ListParagraph"/>
        <w:numPr>
          <w:ilvl w:val="0"/>
          <w:numId w:val="17"/>
        </w:numPr>
        <w:jc w:val="both"/>
        <w:rPr>
          <w:rFonts w:ascii="Arial" w:hAnsi="Arial" w:cs="Arial"/>
          <w:sz w:val="24"/>
          <w:szCs w:val="24"/>
        </w:rPr>
      </w:pPr>
      <w:r w:rsidRPr="0074295E">
        <w:rPr>
          <w:rFonts w:ascii="Arial" w:hAnsi="Arial" w:cs="Arial"/>
          <w:b/>
          <w:sz w:val="24"/>
          <w:szCs w:val="24"/>
        </w:rPr>
        <w:t>Passport</w:t>
      </w:r>
      <w:r w:rsidRPr="0074295E">
        <w:rPr>
          <w:rFonts w:ascii="Arial" w:hAnsi="Arial" w:cs="Arial"/>
          <w:sz w:val="24"/>
          <w:szCs w:val="24"/>
        </w:rPr>
        <w:t xml:space="preserve"> (and visa if applicable) – if the child was born overseas and not Australian citizen</w:t>
      </w:r>
      <w:r>
        <w:rPr>
          <w:rFonts w:ascii="Arial" w:hAnsi="Arial" w:cs="Arial"/>
          <w:sz w:val="24"/>
          <w:szCs w:val="24"/>
        </w:rPr>
        <w:t>.</w:t>
      </w:r>
    </w:p>
    <w:p w:rsidR="0074295E" w:rsidRPr="0074295E" w:rsidRDefault="0074295E" w:rsidP="0074295E">
      <w:pPr>
        <w:spacing w:line="276" w:lineRule="auto"/>
        <w:ind w:left="450"/>
        <w:jc w:val="both"/>
        <w:rPr>
          <w:rFonts w:cs="Arial"/>
          <w:b/>
        </w:rPr>
      </w:pPr>
      <w:r w:rsidRPr="0074295E">
        <w:rPr>
          <w:rFonts w:cs="Arial"/>
          <w:i/>
        </w:rPr>
        <w:t xml:space="preserve">If a child was born in Australia and both parents are born overseas, it is necessary to sight the child’s passport </w:t>
      </w:r>
      <w:r w:rsidRPr="0074295E">
        <w:rPr>
          <w:rFonts w:cs="Arial"/>
          <w:b/>
          <w:i/>
        </w:rPr>
        <w:t>and</w:t>
      </w:r>
      <w:r w:rsidRPr="0074295E">
        <w:rPr>
          <w:rFonts w:cs="Arial"/>
          <w:i/>
        </w:rPr>
        <w:t xml:space="preserve"> also the parents’ passports.</w:t>
      </w:r>
    </w:p>
    <w:p w:rsidR="0074295E" w:rsidRPr="00122327" w:rsidRDefault="0074295E" w:rsidP="0074295E">
      <w:pPr>
        <w:spacing w:line="276" w:lineRule="auto"/>
        <w:jc w:val="both"/>
        <w:rPr>
          <w:rFonts w:cs="Arial"/>
        </w:rPr>
      </w:pPr>
    </w:p>
    <w:p w:rsidR="0074295E" w:rsidRPr="0074295E" w:rsidRDefault="0074295E" w:rsidP="0074295E">
      <w:pPr>
        <w:spacing w:line="276" w:lineRule="auto"/>
        <w:jc w:val="both"/>
        <w:rPr>
          <w:rFonts w:cs="Arial"/>
          <w:b/>
        </w:rPr>
      </w:pPr>
      <w:r w:rsidRPr="0074295E">
        <w:rPr>
          <w:rFonts w:cs="Arial"/>
          <w:b/>
        </w:rPr>
        <w:t>Note:  Legal ramifications of providing false information in order to gain enrolment at a particular school</w:t>
      </w:r>
    </w:p>
    <w:p w:rsidR="0074295E" w:rsidRPr="0074295E" w:rsidRDefault="0074295E" w:rsidP="0074295E">
      <w:pPr>
        <w:spacing w:line="276" w:lineRule="auto"/>
        <w:jc w:val="both"/>
        <w:rPr>
          <w:rFonts w:cs="Arial"/>
        </w:rPr>
      </w:pPr>
    </w:p>
    <w:p w:rsidR="0074295E" w:rsidRPr="0074295E" w:rsidRDefault="0074295E" w:rsidP="0074295E">
      <w:pPr>
        <w:spacing w:line="276" w:lineRule="auto"/>
        <w:jc w:val="both"/>
        <w:rPr>
          <w:rFonts w:cs="Arial"/>
        </w:rPr>
      </w:pPr>
      <w:r w:rsidRPr="0074295E">
        <w:rPr>
          <w:rFonts w:cs="Arial"/>
        </w:rPr>
        <w:t>The school checks all documents and information provided to support enrolment.</w:t>
      </w:r>
    </w:p>
    <w:p w:rsidR="0074295E" w:rsidRPr="0074295E" w:rsidRDefault="0074295E" w:rsidP="0074295E">
      <w:pPr>
        <w:spacing w:line="276" w:lineRule="auto"/>
        <w:jc w:val="both"/>
        <w:rPr>
          <w:rFonts w:cs="Arial"/>
        </w:rPr>
      </w:pPr>
    </w:p>
    <w:p w:rsidR="0074295E" w:rsidRPr="0074295E" w:rsidRDefault="0074295E" w:rsidP="0074295E">
      <w:pPr>
        <w:spacing w:line="276" w:lineRule="auto"/>
        <w:jc w:val="both"/>
        <w:rPr>
          <w:rFonts w:cs="Arial"/>
        </w:rPr>
      </w:pPr>
      <w:r w:rsidRPr="0074295E">
        <w:rPr>
          <w:rFonts w:cs="Arial"/>
        </w:rPr>
        <w:t xml:space="preserve">If a person provides materially false or misleading information to a school when making an application for enrolment, this is an offence under Section 307B of the </w:t>
      </w:r>
      <w:r w:rsidRPr="0074295E">
        <w:rPr>
          <w:rFonts w:cs="Arial"/>
          <w:i/>
        </w:rPr>
        <w:t>Crimes Act 1900</w:t>
      </w:r>
      <w:r w:rsidRPr="0074295E">
        <w:rPr>
          <w:rFonts w:cs="Arial"/>
        </w:rPr>
        <w:t xml:space="preserve"> and carries a penalty of up to two (2) years imprisonment, $22,000 fine or both.</w:t>
      </w:r>
    </w:p>
    <w:p w:rsidR="0074295E" w:rsidRPr="0074295E" w:rsidRDefault="0074295E" w:rsidP="0074295E">
      <w:pPr>
        <w:spacing w:line="276" w:lineRule="auto"/>
        <w:jc w:val="both"/>
        <w:rPr>
          <w:rFonts w:cs="Arial"/>
        </w:rPr>
      </w:pPr>
    </w:p>
    <w:p w:rsidR="0074295E" w:rsidRPr="0074295E" w:rsidRDefault="0074295E" w:rsidP="0074295E">
      <w:pPr>
        <w:spacing w:line="276" w:lineRule="auto"/>
        <w:jc w:val="both"/>
        <w:rPr>
          <w:rFonts w:cs="Arial"/>
        </w:rPr>
      </w:pPr>
      <w:r w:rsidRPr="0074295E">
        <w:rPr>
          <w:rFonts w:cs="Arial"/>
        </w:rPr>
        <w:t xml:space="preserve">If a person provides a statutory Declaration he or she knows to be false, for the purposes of gaining entry to a school, he or she commits an offence under Section 25A of the </w:t>
      </w:r>
      <w:r w:rsidRPr="0074295E">
        <w:rPr>
          <w:rFonts w:cs="Arial"/>
          <w:i/>
        </w:rPr>
        <w:t>Oaths Act 1900</w:t>
      </w:r>
      <w:r w:rsidRPr="0074295E">
        <w:rPr>
          <w:rFonts w:cs="Arial"/>
        </w:rPr>
        <w:t xml:space="preserve"> which carries a penalty of seven (7) years imprisonment.</w:t>
      </w:r>
    </w:p>
    <w:p w:rsidR="0074295E" w:rsidRPr="00C65741" w:rsidRDefault="0074295E" w:rsidP="003E7C68">
      <w:pPr>
        <w:pStyle w:val="Default"/>
        <w:spacing w:line="276" w:lineRule="auto"/>
        <w:rPr>
          <w:b/>
          <w:bCs/>
        </w:rPr>
      </w:pPr>
    </w:p>
    <w:p w:rsidR="00C65741" w:rsidRPr="00CA78D0" w:rsidRDefault="00CA78D0" w:rsidP="003E7C68">
      <w:pPr>
        <w:pStyle w:val="Default"/>
        <w:spacing w:line="276" w:lineRule="auto"/>
        <w:jc w:val="both"/>
        <w:rPr>
          <w:b/>
        </w:rPr>
      </w:pPr>
      <w:r w:rsidRPr="00CA78D0">
        <w:rPr>
          <w:b/>
        </w:rPr>
        <w:t>Note:  All a</w:t>
      </w:r>
      <w:r w:rsidR="00C65741" w:rsidRPr="00CA78D0">
        <w:rPr>
          <w:b/>
        </w:rPr>
        <w:t xml:space="preserve">pplicants </w:t>
      </w:r>
      <w:r w:rsidR="00122327" w:rsidRPr="00122327">
        <w:rPr>
          <w:b/>
        </w:rPr>
        <w:t>MUST</w:t>
      </w:r>
      <w:r w:rsidR="00C65741" w:rsidRPr="00CA78D0">
        <w:rPr>
          <w:b/>
        </w:rPr>
        <w:t xml:space="preserve"> also include </w:t>
      </w:r>
      <w:r w:rsidR="00122327" w:rsidRPr="00CA78D0">
        <w:rPr>
          <w:b/>
          <w:bCs/>
        </w:rPr>
        <w:t xml:space="preserve">TWO </w:t>
      </w:r>
      <w:r w:rsidRPr="00CA78D0">
        <w:rPr>
          <w:b/>
        </w:rPr>
        <w:t>previous school reports.</w:t>
      </w:r>
    </w:p>
    <w:p w:rsidR="0074295E" w:rsidRPr="0074295E" w:rsidRDefault="0074295E" w:rsidP="0074295E">
      <w:pPr>
        <w:pStyle w:val="Default"/>
        <w:spacing w:line="276" w:lineRule="auto"/>
        <w:jc w:val="both"/>
      </w:pPr>
    </w:p>
    <w:p w:rsidR="0074295E" w:rsidRPr="0074295E" w:rsidRDefault="0074295E" w:rsidP="0074295E">
      <w:pPr>
        <w:widowControl w:val="0"/>
        <w:autoSpaceDE w:val="0"/>
        <w:autoSpaceDN w:val="0"/>
        <w:adjustRightInd w:val="0"/>
        <w:spacing w:line="276" w:lineRule="auto"/>
        <w:jc w:val="both"/>
        <w:rPr>
          <w:rFonts w:cs="Arial"/>
          <w:b/>
          <w:lang w:val="en-US" w:eastAsia="en-US"/>
        </w:rPr>
      </w:pPr>
      <w:r w:rsidRPr="0074295E">
        <w:rPr>
          <w:rFonts w:cs="Arial"/>
          <w:b/>
          <w:lang w:val="en-US" w:eastAsia="en-US"/>
        </w:rPr>
        <w:t>Enrolment of Temporary Residents</w:t>
      </w:r>
      <w:r>
        <w:rPr>
          <w:rFonts w:cs="Arial"/>
          <w:b/>
          <w:lang w:val="en-US" w:eastAsia="en-US"/>
        </w:rPr>
        <w:t>:</w:t>
      </w:r>
    </w:p>
    <w:p w:rsidR="0074295E" w:rsidRDefault="0074295E" w:rsidP="0074295E">
      <w:pPr>
        <w:widowControl w:val="0"/>
        <w:autoSpaceDE w:val="0"/>
        <w:autoSpaceDN w:val="0"/>
        <w:adjustRightInd w:val="0"/>
        <w:spacing w:line="276" w:lineRule="auto"/>
        <w:jc w:val="both"/>
        <w:rPr>
          <w:rFonts w:cs="Arial"/>
          <w:lang w:val="en-US" w:eastAsia="en-US"/>
        </w:rPr>
      </w:pPr>
      <w:r w:rsidRPr="0074295E">
        <w:rPr>
          <w:rFonts w:cs="Arial"/>
          <w:lang w:val="en-US" w:eastAsia="en-US"/>
        </w:rPr>
        <w:t xml:space="preserve">The temporary resident visa allows for the enrolment on a temporary basis of school aged students in a New South Wales government school. </w:t>
      </w:r>
      <w:r>
        <w:rPr>
          <w:rFonts w:cs="Arial"/>
          <w:lang w:val="en-US" w:eastAsia="en-US"/>
        </w:rPr>
        <w:t xml:space="preserve"> </w:t>
      </w:r>
      <w:r w:rsidRPr="0074295E">
        <w:rPr>
          <w:rFonts w:cs="Arial"/>
          <w:lang w:val="en-US" w:eastAsia="en-US"/>
        </w:rPr>
        <w:t xml:space="preserve">Enrolment is only for the period specified on the visa. </w:t>
      </w:r>
      <w:r>
        <w:rPr>
          <w:rFonts w:cs="Arial"/>
          <w:lang w:val="en-US" w:eastAsia="en-US"/>
        </w:rPr>
        <w:t xml:space="preserve"> </w:t>
      </w:r>
      <w:r w:rsidRPr="0074295E">
        <w:rPr>
          <w:rFonts w:cs="Arial"/>
          <w:lang w:val="en-US" w:eastAsia="en-US"/>
        </w:rPr>
        <w:t>The student must present with a dependant and student visa.</w:t>
      </w:r>
    </w:p>
    <w:p w:rsidR="0074295E" w:rsidRPr="0074295E" w:rsidRDefault="0074295E" w:rsidP="0074295E">
      <w:pPr>
        <w:widowControl w:val="0"/>
        <w:autoSpaceDE w:val="0"/>
        <w:autoSpaceDN w:val="0"/>
        <w:adjustRightInd w:val="0"/>
        <w:spacing w:line="276" w:lineRule="auto"/>
        <w:jc w:val="both"/>
        <w:rPr>
          <w:rFonts w:cs="Arial"/>
          <w:b/>
          <w:lang w:val="en-US" w:eastAsia="en-US"/>
        </w:rPr>
      </w:pPr>
      <w:r w:rsidRPr="0074295E">
        <w:rPr>
          <w:rFonts w:cs="Arial"/>
          <w:b/>
          <w:lang w:val="en-US" w:eastAsia="en-US"/>
        </w:rPr>
        <w:lastRenderedPageBreak/>
        <w:t>Exchange Students</w:t>
      </w:r>
      <w:r>
        <w:rPr>
          <w:rFonts w:cs="Arial"/>
          <w:b/>
          <w:lang w:val="en-US" w:eastAsia="en-US"/>
        </w:rPr>
        <w:t>:</w:t>
      </w:r>
    </w:p>
    <w:p w:rsidR="0074295E" w:rsidRPr="0074295E" w:rsidRDefault="0074295E" w:rsidP="0074295E">
      <w:pPr>
        <w:widowControl w:val="0"/>
        <w:autoSpaceDE w:val="0"/>
        <w:autoSpaceDN w:val="0"/>
        <w:adjustRightInd w:val="0"/>
        <w:spacing w:line="276" w:lineRule="auto"/>
        <w:jc w:val="both"/>
        <w:rPr>
          <w:rFonts w:cs="Arial"/>
          <w:lang w:val="en-US" w:eastAsia="en-US"/>
        </w:rPr>
      </w:pPr>
      <w:r w:rsidRPr="0074295E">
        <w:rPr>
          <w:rFonts w:cs="Arial"/>
          <w:lang w:val="en-US" w:eastAsia="en-US"/>
        </w:rPr>
        <w:t xml:space="preserve">Exchange students may </w:t>
      </w:r>
      <w:r w:rsidR="0097240F" w:rsidRPr="0074295E">
        <w:rPr>
          <w:rFonts w:cs="Arial"/>
          <w:lang w:val="en-US" w:eastAsia="en-US"/>
        </w:rPr>
        <w:t>enroll</w:t>
      </w:r>
      <w:r w:rsidRPr="0074295E">
        <w:rPr>
          <w:rFonts w:cs="Arial"/>
          <w:lang w:val="en-US" w:eastAsia="en-US"/>
        </w:rPr>
        <w:t xml:space="preserve"> in NSW high schools for a period of one to twelve months on student visas. Their enrolment is arranged with the principal by the exchange organisation prior to their arrival. Enrolment is at the discretion of the Principal.</w:t>
      </w:r>
    </w:p>
    <w:p w:rsidR="0074295E" w:rsidRPr="0074295E" w:rsidRDefault="0074295E" w:rsidP="0074295E">
      <w:pPr>
        <w:widowControl w:val="0"/>
        <w:autoSpaceDE w:val="0"/>
        <w:autoSpaceDN w:val="0"/>
        <w:adjustRightInd w:val="0"/>
        <w:spacing w:line="276" w:lineRule="auto"/>
        <w:jc w:val="both"/>
        <w:rPr>
          <w:rFonts w:cs="Arial"/>
          <w:b/>
          <w:lang w:val="en-US" w:eastAsia="en-US"/>
        </w:rPr>
      </w:pPr>
    </w:p>
    <w:p w:rsidR="0074295E" w:rsidRPr="0074295E" w:rsidRDefault="0074295E" w:rsidP="0074295E">
      <w:pPr>
        <w:widowControl w:val="0"/>
        <w:autoSpaceDE w:val="0"/>
        <w:autoSpaceDN w:val="0"/>
        <w:adjustRightInd w:val="0"/>
        <w:spacing w:line="276" w:lineRule="auto"/>
        <w:jc w:val="both"/>
        <w:rPr>
          <w:rFonts w:cs="Arial"/>
          <w:b/>
          <w:lang w:val="en-US" w:eastAsia="en-US"/>
        </w:rPr>
      </w:pPr>
      <w:r w:rsidRPr="0074295E">
        <w:rPr>
          <w:rFonts w:cs="Arial"/>
          <w:b/>
          <w:lang w:val="en-US" w:eastAsia="en-US"/>
        </w:rPr>
        <w:t>Visitor Visas</w:t>
      </w:r>
      <w:r>
        <w:rPr>
          <w:rFonts w:cs="Arial"/>
          <w:b/>
          <w:lang w:val="en-US" w:eastAsia="en-US"/>
        </w:rPr>
        <w:t>:</w:t>
      </w:r>
    </w:p>
    <w:p w:rsidR="0074295E" w:rsidRPr="0074295E" w:rsidRDefault="0074295E" w:rsidP="0074295E">
      <w:pPr>
        <w:widowControl w:val="0"/>
        <w:autoSpaceDE w:val="0"/>
        <w:autoSpaceDN w:val="0"/>
        <w:adjustRightInd w:val="0"/>
        <w:spacing w:line="276" w:lineRule="auto"/>
        <w:jc w:val="both"/>
        <w:rPr>
          <w:rFonts w:cs="Arial"/>
          <w:lang w:val="en-US" w:eastAsia="en-US"/>
        </w:rPr>
      </w:pPr>
      <w:r w:rsidRPr="0074295E">
        <w:rPr>
          <w:rFonts w:cs="Arial"/>
          <w:lang w:val="en-US" w:eastAsia="en-US"/>
        </w:rPr>
        <w:t xml:space="preserve">Visitor Visas include business visitors, medical treatment visitors and tourists. A student on a visitor visa may be able to </w:t>
      </w:r>
      <w:r w:rsidR="0097240F" w:rsidRPr="0074295E">
        <w:rPr>
          <w:rFonts w:cs="Arial"/>
          <w:lang w:val="en-US" w:eastAsia="en-US"/>
        </w:rPr>
        <w:t>enroll</w:t>
      </w:r>
      <w:r w:rsidRPr="0074295E">
        <w:rPr>
          <w:rFonts w:cs="Arial"/>
          <w:lang w:val="en-US" w:eastAsia="en-US"/>
        </w:rPr>
        <w:t xml:space="preserve"> for a maximum period of three months which cannot be extended. Students on visitor visas must arrange their enrolment through the Department’s International. </w:t>
      </w:r>
      <w:r>
        <w:rPr>
          <w:rFonts w:cs="Arial"/>
          <w:lang w:val="en-US" w:eastAsia="en-US"/>
        </w:rPr>
        <w:t xml:space="preserve"> </w:t>
      </w:r>
      <w:r w:rsidRPr="0074295E">
        <w:rPr>
          <w:rFonts w:cs="Arial"/>
          <w:lang w:val="en-US" w:eastAsia="en-US"/>
        </w:rPr>
        <w:t>Enrolment is at the discretion of the Principal.</w:t>
      </w:r>
    </w:p>
    <w:p w:rsidR="0074295E" w:rsidRPr="0074295E" w:rsidRDefault="0074295E" w:rsidP="0074295E">
      <w:pPr>
        <w:widowControl w:val="0"/>
        <w:autoSpaceDE w:val="0"/>
        <w:autoSpaceDN w:val="0"/>
        <w:adjustRightInd w:val="0"/>
        <w:spacing w:line="276" w:lineRule="auto"/>
        <w:rPr>
          <w:rFonts w:cs="Arial"/>
          <w:lang w:val="en-US" w:eastAsia="en-US"/>
        </w:rPr>
      </w:pPr>
    </w:p>
    <w:p w:rsidR="0074295E" w:rsidRPr="0074295E" w:rsidRDefault="0074295E" w:rsidP="0074295E">
      <w:pPr>
        <w:spacing w:line="276" w:lineRule="auto"/>
        <w:rPr>
          <w:rFonts w:cs="Arial"/>
          <w:lang w:val="en-US" w:eastAsia="en-US"/>
        </w:rPr>
      </w:pPr>
      <w:r w:rsidRPr="0074295E">
        <w:rPr>
          <w:rFonts w:cs="Arial"/>
          <w:lang w:val="en-US" w:eastAsia="en-US"/>
        </w:rPr>
        <w:t>For all enquiries regarding overseas students:</w:t>
      </w:r>
    </w:p>
    <w:p w:rsidR="0074295E" w:rsidRPr="0074295E" w:rsidRDefault="0074295E" w:rsidP="0074295E">
      <w:pPr>
        <w:spacing w:line="276" w:lineRule="auto"/>
        <w:rPr>
          <w:rFonts w:cs="Arial"/>
        </w:rPr>
      </w:pPr>
      <w:r w:rsidRPr="0074295E">
        <w:rPr>
          <w:rFonts w:cs="Arial"/>
        </w:rPr>
        <w:t xml:space="preserve">Website: </w:t>
      </w:r>
      <w:hyperlink r:id="rId11" w:history="1">
        <w:r w:rsidRPr="0074295E">
          <w:rPr>
            <w:rStyle w:val="Hyperlink"/>
            <w:rFonts w:cs="Arial"/>
          </w:rPr>
          <w:t>http://www.decinternational.nsw.edu.au</w:t>
        </w:r>
      </w:hyperlink>
      <w:r>
        <w:rPr>
          <w:rFonts w:cs="Arial"/>
        </w:rPr>
        <w:tab/>
      </w:r>
      <w:r>
        <w:rPr>
          <w:rFonts w:cs="Arial"/>
        </w:rPr>
        <w:tab/>
      </w:r>
      <w:r w:rsidRPr="0074295E">
        <w:rPr>
          <w:rFonts w:cs="Arial"/>
        </w:rPr>
        <w:t>Phone: 02 8289 4777</w:t>
      </w:r>
    </w:p>
    <w:p w:rsidR="006477EC" w:rsidRDefault="006477EC" w:rsidP="0074295E">
      <w:pPr>
        <w:pStyle w:val="Default"/>
        <w:spacing w:line="276" w:lineRule="auto"/>
        <w:jc w:val="both"/>
        <w:rPr>
          <w:b/>
          <w:bCs/>
        </w:rPr>
      </w:pPr>
    </w:p>
    <w:p w:rsidR="00CA78D0" w:rsidRPr="000D2E58" w:rsidRDefault="00C65741" w:rsidP="003E7C68">
      <w:pPr>
        <w:pStyle w:val="Default"/>
        <w:spacing w:line="276" w:lineRule="auto"/>
        <w:jc w:val="both"/>
        <w:rPr>
          <w:b/>
          <w:bCs/>
        </w:rPr>
      </w:pPr>
      <w:r w:rsidRPr="0074295E">
        <w:rPr>
          <w:b/>
          <w:bCs/>
        </w:rPr>
        <w:t>Appeals</w:t>
      </w:r>
      <w:r w:rsidR="00CA78D0" w:rsidRPr="0074295E">
        <w:rPr>
          <w:b/>
          <w:bCs/>
        </w:rPr>
        <w:t>:</w:t>
      </w:r>
    </w:p>
    <w:p w:rsidR="00C65741" w:rsidRDefault="00C65741" w:rsidP="003E7C68">
      <w:pPr>
        <w:pStyle w:val="Default"/>
        <w:spacing w:line="276" w:lineRule="auto"/>
        <w:jc w:val="both"/>
      </w:pPr>
      <w:r w:rsidRPr="00C65741">
        <w:t xml:space="preserve">A decision made by the enrolment panel not to accept an enrolment application may be appealed to the principal. </w:t>
      </w:r>
      <w:r w:rsidR="00CA78D0">
        <w:t xml:space="preserve"> </w:t>
      </w:r>
      <w:r w:rsidRPr="00C65741">
        <w:t xml:space="preserve">An appeal must be in writing. </w:t>
      </w:r>
      <w:r w:rsidR="00CA78D0">
        <w:t xml:space="preserve"> </w:t>
      </w:r>
      <w:r w:rsidRPr="00C65741">
        <w:t xml:space="preserve">In accordance with the </w:t>
      </w:r>
      <w:r w:rsidRPr="00C65741">
        <w:rPr>
          <w:i/>
          <w:iCs/>
        </w:rPr>
        <w:t xml:space="preserve">Enrolment of Students in Government Schools </w:t>
      </w:r>
      <w:r w:rsidRPr="00C65741">
        <w:t>policy from the NSW Department of Education, a review may be conducted by the Ri</w:t>
      </w:r>
      <w:r w:rsidR="004850B5">
        <w:t>ngrose Area Office (8848</w:t>
      </w:r>
      <w:r w:rsidR="00CA78D0">
        <w:t>4900).</w:t>
      </w:r>
    </w:p>
    <w:p w:rsidR="00CA78D0" w:rsidRPr="00C65741" w:rsidRDefault="00CA78D0" w:rsidP="003E7C68">
      <w:pPr>
        <w:pStyle w:val="Default"/>
        <w:spacing w:line="276" w:lineRule="auto"/>
        <w:jc w:val="both"/>
      </w:pPr>
    </w:p>
    <w:p w:rsidR="00C65741" w:rsidRPr="00C65741" w:rsidRDefault="00C65741" w:rsidP="003E7C68">
      <w:pPr>
        <w:pStyle w:val="Default"/>
        <w:spacing w:line="276" w:lineRule="auto"/>
        <w:jc w:val="both"/>
      </w:pPr>
      <w:r w:rsidRPr="00C65741">
        <w:rPr>
          <w:b/>
          <w:bCs/>
        </w:rPr>
        <w:t>Refusing Enrolments</w:t>
      </w:r>
      <w:r w:rsidR="00CA78D0">
        <w:rPr>
          <w:b/>
          <w:bCs/>
        </w:rPr>
        <w:t>:</w:t>
      </w:r>
    </w:p>
    <w:p w:rsidR="00C65741" w:rsidRDefault="00C65741" w:rsidP="003E7C68">
      <w:pPr>
        <w:pStyle w:val="Default"/>
        <w:spacing w:line="276" w:lineRule="auto"/>
        <w:jc w:val="both"/>
      </w:pPr>
      <w:r w:rsidRPr="00C65741">
        <w:t xml:space="preserve">In accordance with the </w:t>
      </w:r>
      <w:r w:rsidRPr="00C65741">
        <w:rPr>
          <w:i/>
          <w:iCs/>
        </w:rPr>
        <w:t xml:space="preserve">Enhanced Enrolment Procedures </w:t>
      </w:r>
      <w:r w:rsidRPr="00C65741">
        <w:t>of the NSW Department of Education, principals may refuse the enrolment of a student on the grounds of previousl</w:t>
      </w:r>
      <w:r w:rsidR="00CA78D0">
        <w:t>y documented violent behaviour.</w:t>
      </w:r>
    </w:p>
    <w:p w:rsidR="00CA78D0" w:rsidRPr="00C65741" w:rsidRDefault="00CA78D0" w:rsidP="003E7C68">
      <w:pPr>
        <w:pStyle w:val="Default"/>
        <w:spacing w:line="276" w:lineRule="auto"/>
        <w:jc w:val="both"/>
      </w:pPr>
    </w:p>
    <w:p w:rsidR="00C65741" w:rsidRDefault="00C65741" w:rsidP="003E7C68">
      <w:pPr>
        <w:pStyle w:val="Default"/>
        <w:spacing w:line="276" w:lineRule="auto"/>
        <w:jc w:val="both"/>
      </w:pPr>
      <w:r w:rsidRPr="00C65741">
        <w:t>These procedures may also apply to applicants who have demonstrated non-serious attempts at the Record of School Achievement (Year 10), Preliminary Course (Year 11) or Highe</w:t>
      </w:r>
      <w:r w:rsidR="00CA78D0">
        <w:t>r School Certificate (Year 12).</w:t>
      </w:r>
    </w:p>
    <w:p w:rsidR="00CA78D0" w:rsidRPr="00C65741" w:rsidRDefault="00CA78D0" w:rsidP="003E7C68">
      <w:pPr>
        <w:pStyle w:val="Default"/>
        <w:spacing w:line="276" w:lineRule="auto"/>
        <w:jc w:val="both"/>
      </w:pPr>
    </w:p>
    <w:p w:rsidR="00C65741" w:rsidRPr="00C65741" w:rsidRDefault="00C65741" w:rsidP="003E7C68">
      <w:pPr>
        <w:pStyle w:val="Default"/>
        <w:spacing w:line="276" w:lineRule="auto"/>
        <w:jc w:val="both"/>
      </w:pPr>
      <w:r w:rsidRPr="00C65741">
        <w:rPr>
          <w:b/>
          <w:bCs/>
        </w:rPr>
        <w:t>Enrolment in the Support Unit</w:t>
      </w:r>
      <w:r w:rsidR="00CA78D0">
        <w:rPr>
          <w:b/>
          <w:bCs/>
        </w:rPr>
        <w:t>:</w:t>
      </w:r>
    </w:p>
    <w:p w:rsidR="00C65741" w:rsidRPr="00C65741" w:rsidRDefault="00C65741" w:rsidP="003E7C68">
      <w:pPr>
        <w:pStyle w:val="Default"/>
        <w:spacing w:line="276" w:lineRule="auto"/>
        <w:jc w:val="both"/>
      </w:pPr>
      <w:r w:rsidRPr="00C65741">
        <w:t xml:space="preserve">Special education students are enrolled by the NSW Department of Education according to a number of policies and procedures, as applied by an external committee. </w:t>
      </w:r>
      <w:r w:rsidR="00CA78D0">
        <w:t xml:space="preserve"> </w:t>
      </w:r>
      <w:r w:rsidRPr="00C65741">
        <w:t>The enrolment panel does not make any decisions in relation to the enrolment of special education students</w:t>
      </w:r>
      <w:r w:rsidR="00CA78D0">
        <w:t>.</w:t>
      </w:r>
    </w:p>
    <w:sectPr w:rsidR="00C65741" w:rsidRPr="00C65741" w:rsidSect="003965A8">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2C27" w:rsidRDefault="00B22C27" w:rsidP="0034023A">
      <w:r>
        <w:separator/>
      </w:r>
    </w:p>
  </w:endnote>
  <w:endnote w:type="continuationSeparator" w:id="0">
    <w:p w:rsidR="00B22C27" w:rsidRDefault="00B22C27" w:rsidP="00340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8925759"/>
      <w:docPartObj>
        <w:docPartGallery w:val="Page Numbers (Bottom of Page)"/>
        <w:docPartUnique/>
      </w:docPartObj>
    </w:sdtPr>
    <w:sdtEndPr>
      <w:rPr>
        <w:noProof/>
      </w:rPr>
    </w:sdtEndPr>
    <w:sdtContent>
      <w:p w:rsidR="0034023A" w:rsidRDefault="0034023A">
        <w:pPr>
          <w:pStyle w:val="Footer"/>
          <w:jc w:val="center"/>
        </w:pPr>
        <w:r>
          <w:fldChar w:fldCharType="begin"/>
        </w:r>
        <w:r>
          <w:instrText xml:space="preserve"> PAGE   \* MERGEFORMAT </w:instrText>
        </w:r>
        <w:r>
          <w:fldChar w:fldCharType="separate"/>
        </w:r>
        <w:r w:rsidR="002F73A5">
          <w:rPr>
            <w:noProof/>
          </w:rPr>
          <w:t>2</w:t>
        </w:r>
        <w:r>
          <w:rPr>
            <w:noProof/>
          </w:rPr>
          <w:fldChar w:fldCharType="end"/>
        </w:r>
      </w:p>
    </w:sdtContent>
  </w:sdt>
  <w:p w:rsidR="0034023A" w:rsidRDefault="003402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2C27" w:rsidRDefault="00B22C27" w:rsidP="0034023A">
      <w:r>
        <w:separator/>
      </w:r>
    </w:p>
  </w:footnote>
  <w:footnote w:type="continuationSeparator" w:id="0">
    <w:p w:rsidR="00B22C27" w:rsidRDefault="00B22C27" w:rsidP="003402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3EA842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347CFB"/>
    <w:multiLevelType w:val="hybridMultilevel"/>
    <w:tmpl w:val="190E8E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D605BC"/>
    <w:multiLevelType w:val="hybridMultilevel"/>
    <w:tmpl w:val="405ECA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B4625A"/>
    <w:multiLevelType w:val="hybridMultilevel"/>
    <w:tmpl w:val="B4D4D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FD6338"/>
    <w:multiLevelType w:val="hybridMultilevel"/>
    <w:tmpl w:val="3E500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53287D"/>
    <w:multiLevelType w:val="hybridMultilevel"/>
    <w:tmpl w:val="A16A01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7A5115"/>
    <w:multiLevelType w:val="hybridMultilevel"/>
    <w:tmpl w:val="C7BCF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1A01FA"/>
    <w:multiLevelType w:val="hybridMultilevel"/>
    <w:tmpl w:val="1FA8F3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77610D8"/>
    <w:multiLevelType w:val="hybridMultilevel"/>
    <w:tmpl w:val="4FDCF9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C45030B"/>
    <w:multiLevelType w:val="hybridMultilevel"/>
    <w:tmpl w:val="BB1E0C8E"/>
    <w:lvl w:ilvl="0" w:tplc="0C090001">
      <w:start w:val="1"/>
      <w:numFmt w:val="bullet"/>
      <w:lvlText w:val=""/>
      <w:lvlJc w:val="left"/>
      <w:pPr>
        <w:ind w:left="-1116" w:hanging="360"/>
      </w:pPr>
      <w:rPr>
        <w:rFonts w:ascii="Symbol" w:hAnsi="Symbol" w:hint="default"/>
      </w:rPr>
    </w:lvl>
    <w:lvl w:ilvl="1" w:tplc="0C090003" w:tentative="1">
      <w:start w:val="1"/>
      <w:numFmt w:val="bullet"/>
      <w:lvlText w:val="o"/>
      <w:lvlJc w:val="left"/>
      <w:pPr>
        <w:ind w:left="-396" w:hanging="360"/>
      </w:pPr>
      <w:rPr>
        <w:rFonts w:ascii="Courier New" w:hAnsi="Courier New" w:cs="Courier New" w:hint="default"/>
      </w:rPr>
    </w:lvl>
    <w:lvl w:ilvl="2" w:tplc="0C090005" w:tentative="1">
      <w:start w:val="1"/>
      <w:numFmt w:val="bullet"/>
      <w:lvlText w:val=""/>
      <w:lvlJc w:val="left"/>
      <w:pPr>
        <w:ind w:left="324" w:hanging="360"/>
      </w:pPr>
      <w:rPr>
        <w:rFonts w:ascii="Wingdings" w:hAnsi="Wingdings" w:hint="default"/>
      </w:rPr>
    </w:lvl>
    <w:lvl w:ilvl="3" w:tplc="0C090001" w:tentative="1">
      <w:start w:val="1"/>
      <w:numFmt w:val="bullet"/>
      <w:lvlText w:val=""/>
      <w:lvlJc w:val="left"/>
      <w:pPr>
        <w:ind w:left="1044" w:hanging="360"/>
      </w:pPr>
      <w:rPr>
        <w:rFonts w:ascii="Symbol" w:hAnsi="Symbol" w:hint="default"/>
      </w:rPr>
    </w:lvl>
    <w:lvl w:ilvl="4" w:tplc="0C090003" w:tentative="1">
      <w:start w:val="1"/>
      <w:numFmt w:val="bullet"/>
      <w:lvlText w:val="o"/>
      <w:lvlJc w:val="left"/>
      <w:pPr>
        <w:ind w:left="1764" w:hanging="360"/>
      </w:pPr>
      <w:rPr>
        <w:rFonts w:ascii="Courier New" w:hAnsi="Courier New" w:cs="Courier New" w:hint="default"/>
      </w:rPr>
    </w:lvl>
    <w:lvl w:ilvl="5" w:tplc="0C090005" w:tentative="1">
      <w:start w:val="1"/>
      <w:numFmt w:val="bullet"/>
      <w:lvlText w:val=""/>
      <w:lvlJc w:val="left"/>
      <w:pPr>
        <w:ind w:left="2484" w:hanging="360"/>
      </w:pPr>
      <w:rPr>
        <w:rFonts w:ascii="Wingdings" w:hAnsi="Wingdings" w:hint="default"/>
      </w:rPr>
    </w:lvl>
    <w:lvl w:ilvl="6" w:tplc="0C090001" w:tentative="1">
      <w:start w:val="1"/>
      <w:numFmt w:val="bullet"/>
      <w:lvlText w:val=""/>
      <w:lvlJc w:val="left"/>
      <w:pPr>
        <w:ind w:left="3204" w:hanging="360"/>
      </w:pPr>
      <w:rPr>
        <w:rFonts w:ascii="Symbol" w:hAnsi="Symbol" w:hint="default"/>
      </w:rPr>
    </w:lvl>
    <w:lvl w:ilvl="7" w:tplc="0C090003" w:tentative="1">
      <w:start w:val="1"/>
      <w:numFmt w:val="bullet"/>
      <w:lvlText w:val="o"/>
      <w:lvlJc w:val="left"/>
      <w:pPr>
        <w:ind w:left="3924" w:hanging="360"/>
      </w:pPr>
      <w:rPr>
        <w:rFonts w:ascii="Courier New" w:hAnsi="Courier New" w:cs="Courier New" w:hint="default"/>
      </w:rPr>
    </w:lvl>
    <w:lvl w:ilvl="8" w:tplc="0C090005" w:tentative="1">
      <w:start w:val="1"/>
      <w:numFmt w:val="bullet"/>
      <w:lvlText w:val=""/>
      <w:lvlJc w:val="left"/>
      <w:pPr>
        <w:ind w:left="4644" w:hanging="360"/>
      </w:pPr>
      <w:rPr>
        <w:rFonts w:ascii="Wingdings" w:hAnsi="Wingdings" w:hint="default"/>
      </w:rPr>
    </w:lvl>
  </w:abstractNum>
  <w:abstractNum w:abstractNumId="10" w15:restartNumberingAfterBreak="0">
    <w:nsid w:val="3F3878A7"/>
    <w:multiLevelType w:val="hybridMultilevel"/>
    <w:tmpl w:val="9276348E"/>
    <w:lvl w:ilvl="0" w:tplc="B0BA3FBC">
      <w:start w:val="8"/>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4650879"/>
    <w:multiLevelType w:val="hybridMultilevel"/>
    <w:tmpl w:val="AA947D0E"/>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04218CB"/>
    <w:multiLevelType w:val="hybridMultilevel"/>
    <w:tmpl w:val="BD7845C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644F7860"/>
    <w:multiLevelType w:val="hybridMultilevel"/>
    <w:tmpl w:val="0CCC55C2"/>
    <w:lvl w:ilvl="0" w:tplc="0C090001">
      <w:start w:val="1"/>
      <w:numFmt w:val="bullet"/>
      <w:lvlText w:val=""/>
      <w:lvlJc w:val="left"/>
      <w:pPr>
        <w:ind w:left="-414" w:hanging="360"/>
      </w:pPr>
      <w:rPr>
        <w:rFonts w:ascii="Symbol" w:hAnsi="Symbol" w:hint="default"/>
      </w:rPr>
    </w:lvl>
    <w:lvl w:ilvl="1" w:tplc="83B8A8A6">
      <w:numFmt w:val="bullet"/>
      <w:lvlText w:val="•"/>
      <w:lvlJc w:val="left"/>
      <w:pPr>
        <w:ind w:left="306" w:hanging="360"/>
      </w:pPr>
      <w:rPr>
        <w:rFonts w:ascii="Arial" w:eastAsia="Times New Roman" w:hAnsi="Arial" w:cs="Arial" w:hint="default"/>
      </w:rPr>
    </w:lvl>
    <w:lvl w:ilvl="2" w:tplc="0C090005" w:tentative="1">
      <w:start w:val="1"/>
      <w:numFmt w:val="bullet"/>
      <w:lvlText w:val=""/>
      <w:lvlJc w:val="left"/>
      <w:pPr>
        <w:ind w:left="1026" w:hanging="360"/>
      </w:pPr>
      <w:rPr>
        <w:rFonts w:ascii="Wingdings" w:hAnsi="Wingdings" w:hint="default"/>
      </w:rPr>
    </w:lvl>
    <w:lvl w:ilvl="3" w:tplc="0C090001" w:tentative="1">
      <w:start w:val="1"/>
      <w:numFmt w:val="bullet"/>
      <w:lvlText w:val=""/>
      <w:lvlJc w:val="left"/>
      <w:pPr>
        <w:ind w:left="1746" w:hanging="360"/>
      </w:pPr>
      <w:rPr>
        <w:rFonts w:ascii="Symbol" w:hAnsi="Symbol" w:hint="default"/>
      </w:rPr>
    </w:lvl>
    <w:lvl w:ilvl="4" w:tplc="0C090003" w:tentative="1">
      <w:start w:val="1"/>
      <w:numFmt w:val="bullet"/>
      <w:lvlText w:val="o"/>
      <w:lvlJc w:val="left"/>
      <w:pPr>
        <w:ind w:left="2466" w:hanging="360"/>
      </w:pPr>
      <w:rPr>
        <w:rFonts w:ascii="Courier New" w:hAnsi="Courier New" w:cs="Courier New" w:hint="default"/>
      </w:rPr>
    </w:lvl>
    <w:lvl w:ilvl="5" w:tplc="0C090005" w:tentative="1">
      <w:start w:val="1"/>
      <w:numFmt w:val="bullet"/>
      <w:lvlText w:val=""/>
      <w:lvlJc w:val="left"/>
      <w:pPr>
        <w:ind w:left="3186" w:hanging="360"/>
      </w:pPr>
      <w:rPr>
        <w:rFonts w:ascii="Wingdings" w:hAnsi="Wingdings" w:hint="default"/>
      </w:rPr>
    </w:lvl>
    <w:lvl w:ilvl="6" w:tplc="0C090001" w:tentative="1">
      <w:start w:val="1"/>
      <w:numFmt w:val="bullet"/>
      <w:lvlText w:val=""/>
      <w:lvlJc w:val="left"/>
      <w:pPr>
        <w:ind w:left="3906" w:hanging="360"/>
      </w:pPr>
      <w:rPr>
        <w:rFonts w:ascii="Symbol" w:hAnsi="Symbol" w:hint="default"/>
      </w:rPr>
    </w:lvl>
    <w:lvl w:ilvl="7" w:tplc="0C090003" w:tentative="1">
      <w:start w:val="1"/>
      <w:numFmt w:val="bullet"/>
      <w:lvlText w:val="o"/>
      <w:lvlJc w:val="left"/>
      <w:pPr>
        <w:ind w:left="4626" w:hanging="360"/>
      </w:pPr>
      <w:rPr>
        <w:rFonts w:ascii="Courier New" w:hAnsi="Courier New" w:cs="Courier New" w:hint="default"/>
      </w:rPr>
    </w:lvl>
    <w:lvl w:ilvl="8" w:tplc="0C090005" w:tentative="1">
      <w:start w:val="1"/>
      <w:numFmt w:val="bullet"/>
      <w:lvlText w:val=""/>
      <w:lvlJc w:val="left"/>
      <w:pPr>
        <w:ind w:left="5346" w:hanging="360"/>
      </w:pPr>
      <w:rPr>
        <w:rFonts w:ascii="Wingdings" w:hAnsi="Wingdings" w:hint="default"/>
      </w:rPr>
    </w:lvl>
  </w:abstractNum>
  <w:abstractNum w:abstractNumId="14" w15:restartNumberingAfterBreak="0">
    <w:nsid w:val="7C6039B0"/>
    <w:multiLevelType w:val="hybridMultilevel"/>
    <w:tmpl w:val="9A509C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13"/>
  </w:num>
  <w:num w:numId="5">
    <w:abstractNumId w:val="10"/>
  </w:num>
  <w:num w:numId="6">
    <w:abstractNumId w:val="1"/>
  </w:num>
  <w:num w:numId="7">
    <w:abstractNumId w:val="4"/>
  </w:num>
  <w:num w:numId="8">
    <w:abstractNumId w:val="7"/>
  </w:num>
  <w:num w:numId="9">
    <w:abstractNumId w:val="2"/>
  </w:num>
  <w:num w:numId="10">
    <w:abstractNumId w:val="14"/>
  </w:num>
  <w:num w:numId="11">
    <w:abstractNumId w:val="11"/>
  </w:num>
  <w:num w:numId="12">
    <w:abstractNumId w:val="8"/>
  </w:num>
  <w:num w:numId="13">
    <w:abstractNumId w:val="9"/>
  </w:num>
  <w:num w:numId="14">
    <w:abstractNumId w:val="3"/>
  </w:num>
  <w:num w:numId="15">
    <w:abstractNumId w:val="6"/>
  </w:num>
  <w:num w:numId="16">
    <w:abstractNumId w:val="1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6AC"/>
    <w:rsid w:val="000169E1"/>
    <w:rsid w:val="000C15DB"/>
    <w:rsid w:val="000D2E58"/>
    <w:rsid w:val="000E0586"/>
    <w:rsid w:val="000F2B29"/>
    <w:rsid w:val="00116971"/>
    <w:rsid w:val="00122327"/>
    <w:rsid w:val="00165C38"/>
    <w:rsid w:val="001D1C6B"/>
    <w:rsid w:val="002046B9"/>
    <w:rsid w:val="0026214E"/>
    <w:rsid w:val="002D6787"/>
    <w:rsid w:val="002F73A5"/>
    <w:rsid w:val="0034023A"/>
    <w:rsid w:val="003965A8"/>
    <w:rsid w:val="003E7C68"/>
    <w:rsid w:val="004850B5"/>
    <w:rsid w:val="004B54EA"/>
    <w:rsid w:val="005230D6"/>
    <w:rsid w:val="0056243D"/>
    <w:rsid w:val="0056282F"/>
    <w:rsid w:val="006354BC"/>
    <w:rsid w:val="006477EC"/>
    <w:rsid w:val="006551C4"/>
    <w:rsid w:val="006878F2"/>
    <w:rsid w:val="00696638"/>
    <w:rsid w:val="007420D6"/>
    <w:rsid w:val="0074295E"/>
    <w:rsid w:val="007E62EF"/>
    <w:rsid w:val="00804AE1"/>
    <w:rsid w:val="00906412"/>
    <w:rsid w:val="00936D88"/>
    <w:rsid w:val="0097240F"/>
    <w:rsid w:val="00994278"/>
    <w:rsid w:val="00997DE5"/>
    <w:rsid w:val="009A1127"/>
    <w:rsid w:val="009A6535"/>
    <w:rsid w:val="009B4324"/>
    <w:rsid w:val="00A54D28"/>
    <w:rsid w:val="00A71F88"/>
    <w:rsid w:val="00B22C27"/>
    <w:rsid w:val="00B474D5"/>
    <w:rsid w:val="00BE4991"/>
    <w:rsid w:val="00C21613"/>
    <w:rsid w:val="00C275E5"/>
    <w:rsid w:val="00C65741"/>
    <w:rsid w:val="00CA78D0"/>
    <w:rsid w:val="00D02756"/>
    <w:rsid w:val="00D30B20"/>
    <w:rsid w:val="00D705ED"/>
    <w:rsid w:val="00DD701B"/>
    <w:rsid w:val="00E156AC"/>
    <w:rsid w:val="00F66034"/>
    <w:rsid w:val="00F80242"/>
    <w:rsid w:val="00F917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9672CD-47CD-4BAA-ABA6-D35C002EA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7DE5"/>
    <w:pPr>
      <w:spacing w:after="0" w:line="240" w:lineRule="auto"/>
    </w:pPr>
    <w:rPr>
      <w:rFonts w:ascii="Arial" w:hAnsi="Arial"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H2">
    <w:name w:val="Reference H2"/>
    <w:basedOn w:val="Normal"/>
    <w:autoRedefine/>
    <w:qFormat/>
    <w:rsid w:val="0056282F"/>
    <w:pPr>
      <w:widowControl w:val="0"/>
      <w:spacing w:after="100" w:afterAutospacing="1"/>
      <w:ind w:left="851" w:hanging="284"/>
      <w:jc w:val="both"/>
    </w:pPr>
    <w:rPr>
      <w:rFonts w:eastAsia="Calibri" w:cs="Arial"/>
      <w:bCs/>
      <w:iCs/>
      <w:szCs w:val="56"/>
      <w:lang w:bidi="en-US"/>
    </w:rPr>
  </w:style>
  <w:style w:type="paragraph" w:styleId="ListBullet">
    <w:name w:val="List Bullet"/>
    <w:basedOn w:val="Normal"/>
    <w:autoRedefine/>
    <w:uiPriority w:val="99"/>
    <w:unhideWhenUsed/>
    <w:rsid w:val="00936D88"/>
    <w:pPr>
      <w:widowControl w:val="0"/>
      <w:numPr>
        <w:numId w:val="3"/>
      </w:numPr>
      <w:spacing w:after="100" w:afterAutospacing="1" w:line="360" w:lineRule="auto"/>
      <w:contextualSpacing/>
      <w:jc w:val="both"/>
    </w:pPr>
  </w:style>
  <w:style w:type="paragraph" w:customStyle="1" w:styleId="Footnote">
    <w:name w:val="Footnote"/>
    <w:basedOn w:val="Normal"/>
    <w:autoRedefine/>
    <w:qFormat/>
    <w:rsid w:val="006878F2"/>
    <w:pPr>
      <w:widowControl w:val="0"/>
      <w:jc w:val="both"/>
    </w:pPr>
    <w:rPr>
      <w:sz w:val="18"/>
      <w:szCs w:val="18"/>
    </w:rPr>
  </w:style>
  <w:style w:type="paragraph" w:styleId="BodyText2">
    <w:name w:val="Body Text 2"/>
    <w:basedOn w:val="Normal"/>
    <w:link w:val="BodyText2Char"/>
    <w:autoRedefine/>
    <w:uiPriority w:val="99"/>
    <w:rsid w:val="00A71F88"/>
    <w:pPr>
      <w:overflowPunct w:val="0"/>
      <w:autoSpaceDE w:val="0"/>
      <w:autoSpaceDN w:val="0"/>
      <w:adjustRightInd w:val="0"/>
      <w:ind w:left="1134"/>
      <w:jc w:val="both"/>
      <w:textAlignment w:val="baseline"/>
    </w:pPr>
    <w:rPr>
      <w:noProof/>
    </w:rPr>
  </w:style>
  <w:style w:type="character" w:customStyle="1" w:styleId="BodyText2Char">
    <w:name w:val="Body Text 2 Char"/>
    <w:basedOn w:val="DefaultParagraphFont"/>
    <w:link w:val="BodyText2"/>
    <w:uiPriority w:val="99"/>
    <w:rsid w:val="00A71F88"/>
    <w:rPr>
      <w:rFonts w:ascii="Arial" w:hAnsi="Arial"/>
      <w:noProof/>
      <w:sz w:val="24"/>
      <w:szCs w:val="24"/>
      <w:lang w:eastAsia="en-US"/>
    </w:rPr>
  </w:style>
  <w:style w:type="paragraph" w:styleId="TOC1">
    <w:name w:val="toc 1"/>
    <w:basedOn w:val="Normal"/>
    <w:next w:val="Normal"/>
    <w:autoRedefine/>
    <w:uiPriority w:val="39"/>
    <w:unhideWhenUsed/>
    <w:rsid w:val="00997DE5"/>
    <w:pPr>
      <w:spacing w:after="100"/>
    </w:pPr>
    <w:rPr>
      <w:b/>
      <w:smallCaps/>
    </w:rPr>
  </w:style>
  <w:style w:type="paragraph" w:styleId="TOC2">
    <w:name w:val="toc 2"/>
    <w:basedOn w:val="Normal"/>
    <w:next w:val="Normal"/>
    <w:autoRedefine/>
    <w:uiPriority w:val="39"/>
    <w:unhideWhenUsed/>
    <w:rsid w:val="00997DE5"/>
    <w:pPr>
      <w:spacing w:after="100"/>
      <w:ind w:left="240"/>
    </w:pPr>
  </w:style>
  <w:style w:type="paragraph" w:styleId="TOC3">
    <w:name w:val="toc 3"/>
    <w:basedOn w:val="Normal"/>
    <w:next w:val="Normal"/>
    <w:autoRedefine/>
    <w:uiPriority w:val="39"/>
    <w:unhideWhenUsed/>
    <w:rsid w:val="00997DE5"/>
    <w:pPr>
      <w:tabs>
        <w:tab w:val="right" w:leader="dot" w:pos="9060"/>
      </w:tabs>
      <w:spacing w:after="100"/>
      <w:ind w:left="480"/>
    </w:pPr>
    <w:rPr>
      <w:noProof/>
    </w:rPr>
  </w:style>
  <w:style w:type="paragraph" w:styleId="NormalWeb">
    <w:name w:val="Normal (Web)"/>
    <w:basedOn w:val="Normal"/>
    <w:uiPriority w:val="99"/>
    <w:unhideWhenUsed/>
    <w:rsid w:val="00906412"/>
    <w:pPr>
      <w:spacing w:before="100" w:beforeAutospacing="1" w:after="100" w:afterAutospacing="1"/>
    </w:pPr>
    <w:rPr>
      <w:rFonts w:ascii="Times New Roman" w:hAnsi="Times New Roman"/>
    </w:rPr>
  </w:style>
  <w:style w:type="character" w:styleId="Strong">
    <w:name w:val="Strong"/>
    <w:basedOn w:val="DefaultParagraphFont"/>
    <w:uiPriority w:val="22"/>
    <w:qFormat/>
    <w:rsid w:val="00906412"/>
    <w:rPr>
      <w:b/>
      <w:bCs/>
    </w:rPr>
  </w:style>
  <w:style w:type="character" w:styleId="Hyperlink">
    <w:name w:val="Hyperlink"/>
    <w:basedOn w:val="DefaultParagraphFont"/>
    <w:uiPriority w:val="99"/>
    <w:unhideWhenUsed/>
    <w:rsid w:val="00906412"/>
    <w:rPr>
      <w:color w:val="0000FF" w:themeColor="hyperlink"/>
      <w:u w:val="single"/>
    </w:rPr>
  </w:style>
  <w:style w:type="paragraph" w:styleId="ListParagraph">
    <w:name w:val="List Paragraph"/>
    <w:basedOn w:val="Normal"/>
    <w:uiPriority w:val="34"/>
    <w:qFormat/>
    <w:rsid w:val="00906412"/>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26214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275E5"/>
    <w:rPr>
      <w:rFonts w:ascii="Tahoma" w:hAnsi="Tahoma" w:cs="Tahoma"/>
      <w:sz w:val="16"/>
      <w:szCs w:val="16"/>
    </w:rPr>
  </w:style>
  <w:style w:type="character" w:customStyle="1" w:styleId="BalloonTextChar">
    <w:name w:val="Balloon Text Char"/>
    <w:basedOn w:val="DefaultParagraphFont"/>
    <w:link w:val="BalloonText"/>
    <w:uiPriority w:val="99"/>
    <w:semiHidden/>
    <w:rsid w:val="00C275E5"/>
    <w:rPr>
      <w:rFonts w:ascii="Tahoma" w:hAnsi="Tahoma" w:cs="Tahoma"/>
      <w:sz w:val="16"/>
      <w:szCs w:val="16"/>
      <w:lang w:eastAsia="en-AU"/>
    </w:rPr>
  </w:style>
  <w:style w:type="paragraph" w:styleId="Header">
    <w:name w:val="header"/>
    <w:basedOn w:val="Normal"/>
    <w:link w:val="HeaderChar"/>
    <w:uiPriority w:val="99"/>
    <w:unhideWhenUsed/>
    <w:rsid w:val="0034023A"/>
    <w:pPr>
      <w:tabs>
        <w:tab w:val="center" w:pos="4513"/>
        <w:tab w:val="right" w:pos="9026"/>
      </w:tabs>
    </w:pPr>
  </w:style>
  <w:style w:type="character" w:customStyle="1" w:styleId="HeaderChar">
    <w:name w:val="Header Char"/>
    <w:basedOn w:val="DefaultParagraphFont"/>
    <w:link w:val="Header"/>
    <w:uiPriority w:val="99"/>
    <w:rsid w:val="0034023A"/>
    <w:rPr>
      <w:rFonts w:ascii="Arial" w:hAnsi="Arial" w:cs="Times New Roman"/>
      <w:sz w:val="24"/>
      <w:szCs w:val="24"/>
      <w:lang w:eastAsia="en-AU"/>
    </w:rPr>
  </w:style>
  <w:style w:type="paragraph" w:styleId="Footer">
    <w:name w:val="footer"/>
    <w:basedOn w:val="Normal"/>
    <w:link w:val="FooterChar"/>
    <w:uiPriority w:val="99"/>
    <w:unhideWhenUsed/>
    <w:rsid w:val="0034023A"/>
    <w:pPr>
      <w:tabs>
        <w:tab w:val="center" w:pos="4513"/>
        <w:tab w:val="right" w:pos="9026"/>
      </w:tabs>
    </w:pPr>
  </w:style>
  <w:style w:type="character" w:customStyle="1" w:styleId="FooterChar">
    <w:name w:val="Footer Char"/>
    <w:basedOn w:val="DefaultParagraphFont"/>
    <w:link w:val="Footer"/>
    <w:uiPriority w:val="99"/>
    <w:rsid w:val="0034023A"/>
    <w:rPr>
      <w:rFonts w:ascii="Arial" w:hAnsi="Arial"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cinternational.nsw.edu.au" TargetMode="External"/><Relationship Id="rId5" Type="http://schemas.openxmlformats.org/officeDocument/2006/relationships/webSettings" Target="webSettings.xml"/><Relationship Id="rId10" Type="http://schemas.openxmlformats.org/officeDocument/2006/relationships/hyperlink" Target="https://education.nsw.gov.au/going-to-a-public-school/enrolment/high-school-enrolment" TargetMode="External"/><Relationship Id="rId4" Type="http://schemas.openxmlformats.org/officeDocument/2006/relationships/settings" Target="settings.xml"/><Relationship Id="rId9" Type="http://schemas.openxmlformats.org/officeDocument/2006/relationships/image" Target="http://www.miller-h.schools.nsw.edu.au/MillerLogo4.jp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51D2E-44C2-4F85-B76C-94024943E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1425</Words>
  <Characters>8124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dc:creator>
  <cp:lastModifiedBy>Roger Thompson</cp:lastModifiedBy>
  <cp:revision>2</cp:revision>
  <cp:lastPrinted>2017-07-17T02:14:00Z</cp:lastPrinted>
  <dcterms:created xsi:type="dcterms:W3CDTF">2018-01-28T04:20:00Z</dcterms:created>
  <dcterms:modified xsi:type="dcterms:W3CDTF">2018-01-28T04:20:00Z</dcterms:modified>
</cp:coreProperties>
</file>